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Rollenkarte für den Cybervorfall</w:t>
      </w:r>
    </w:p>
    <w:p>
      <w:r>
        <w:t>Für Geschäftsleitung, IT und Fachbereiche: Zuständigkeiten klären, sicher kommunizieren und Entscheidungen dokumentieren. Vor der Nutzung Kontakte und Befugnisse ergänzen. Bei einem akuten Verdacht sofort den vereinbarten IT-Kontakt anrufen; nicht auf vollständige Unterlagen warten.</w:t>
      </w:r>
    </w:p>
    <w:p>
      <w:r>
        <w:t>Unternehmen: ____________________  Verantwortlich: ____________________</w:t>
        <w:br/>
        <w:t>Geprüft am: _____________________  Freigegeben durch: 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082"/>
        <w:gridCol w:w="2494"/>
        <w:gridCol w:w="3288"/>
      </w:tblGrid>
      <w:tr>
        <w:trPr>
          <w:cantSplit/>
          <w:tblHeader/>
        </w:trPr>
        <w:tc>
          <w:tcPr>
            <w:tcW w:type="dxa" w:w="408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Rolle und Aufgabe</w:t>
            </w:r>
          </w:p>
        </w:tc>
        <w:tc>
          <w:tcPr>
            <w:tcW w:type="dxa" w:w="249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Name und Vertretung</w:t>
            </w:r>
          </w:p>
        </w:tc>
        <w:tc>
          <w:tcPr>
            <w:tcW w:type="dxa" w:w="328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Kontakt und Ersatzweg</w:t>
            </w:r>
          </w:p>
        </w:tc>
      </w:tr>
      <w:tr>
        <w:trPr>
          <w:cantSplit/>
        </w:trPr>
        <w:tc>
          <w:tcPr>
            <w:tcW w:type="dxa" w:w="408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Vorfallsleitung</w:t>
              <w:br/>
              <w:t>Prioritäten, Aufträge und Lageupdates koordinieren</w:t>
            </w:r>
          </w:p>
        </w:tc>
        <w:tc>
          <w:tcPr>
            <w:tcW w:type="dxa" w:w="249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  <w:tc>
          <w:tcPr>
            <w:tcW w:type="dxa" w:w="328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</w:tr>
      <w:tr>
        <w:trPr>
          <w:cantSplit/>
        </w:trPr>
        <w:tc>
          <w:tcPr>
            <w:tcW w:type="dxa" w:w="408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IT oder IT-Dienstleister</w:t>
              <w:br/>
              <w:t>Umfang prüfen, Eindämmung und Wiederherstellung steuern</w:t>
            </w:r>
          </w:p>
        </w:tc>
        <w:tc>
          <w:tcPr>
            <w:tcW w:type="dxa" w:w="249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  <w:tc>
          <w:tcPr>
            <w:tcW w:type="dxa" w:w="328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</w:tr>
      <w:tr>
        <w:trPr>
          <w:cantSplit/>
        </w:trPr>
        <w:tc>
          <w:tcPr>
            <w:tcW w:type="dxa" w:w="408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Geschäftsleitung und Fachbereich</w:t>
              <w:br/>
              <w:t>Betriebsfolgen bewerten und Freigaben erteilen</w:t>
            </w:r>
          </w:p>
        </w:tc>
        <w:tc>
          <w:tcPr>
            <w:tcW w:type="dxa" w:w="249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  <w:tc>
          <w:tcPr>
            <w:tcW w:type="dxa" w:w="328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</w:tr>
      <w:tr>
        <w:trPr>
          <w:cantSplit/>
        </w:trPr>
        <w:tc>
          <w:tcPr>
            <w:tcW w:type="dxa" w:w="408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Kommunikation</w:t>
              <w:br/>
              <w:t>Abgestimmte Meldungen intern und extern versenden</w:t>
            </w:r>
          </w:p>
        </w:tc>
        <w:tc>
          <w:tcPr>
            <w:tcW w:type="dxa" w:w="249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  <w:tc>
          <w:tcPr>
            <w:tcW w:type="dxa" w:w="328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</w:tr>
      <w:tr>
        <w:trPr>
          <w:cantSplit/>
        </w:trPr>
        <w:tc>
          <w:tcPr>
            <w:tcW w:type="dxa" w:w="408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Datenschutz und Recht</w:t>
              <w:br/>
              <w:t>Meldepflichten und externe Einbindung fallbezogen prüfen</w:t>
            </w:r>
          </w:p>
        </w:tc>
        <w:tc>
          <w:tcPr>
            <w:tcW w:type="dxa" w:w="249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  <w:tc>
          <w:tcPr>
            <w:tcW w:type="dxa" w:w="328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</w:tr>
    </w:tbl>
    <w:p>
      <w:pPr>
        <w:spacing w:after="40"/>
      </w:pPr>
    </w:p>
    <w:p>
      <w:pPr>
        <w:pStyle w:val="Heading2"/>
      </w:pPr>
      <w:r>
        <w:t>Kommunikation und Entscheidungsbefugnis</w:t>
      </w:r>
    </w:p>
    <w:p>
      <w:r>
        <w:t>Freigegebener Ersatzkanal bei unsicherer E-Mail: __________________________</w:t>
        <w:br/>
        <w:t>Wer darf Systeme isolieren oder abschalten: _____________________________</w:t>
        <w:br/>
        <w:t>Wer gibt Wiederanlauf und externe Meldungen frei: ________________________</w:t>
        <w:br/>
        <w:t>Nächstes Lageupdate und verantwortliche Person: _________________________</w:t>
      </w:r>
    </w:p>
    <w:p>
      <w:r>
        <w:t>Rollen dürfen in kleinen Teams kombiniert werden. Zuständigkeiten und Vertretungen bleiben ausdrücklich benannt. Sichere Erreichbarkeit auch außerhalb der üblichen Arbeitszeit klären. Betroffene Kommunikationskanäle nicht ungeprüft für die Abstimmung nutzen.</w:t>
      </w:r>
    </w:p>
    <w:p>
      <w:r>
        <w:br w:type="page"/>
      </w:r>
    </w:p>
    <w:p>
      <w:pPr>
        <w:pStyle w:val="Title"/>
      </w:pPr>
      <w:r>
        <w:t>Interne Erstmeldung</w:t>
      </w:r>
    </w:p>
    <w:p>
      <w:r>
        <w:t>Für die meldende Person und die Vorfallsleitung. Bekannte Beobachtungen eintragen, Vermutungen kennzeichnen und Unbekanntes offenlassen. Diese Vorlage ist eine interne Meldung; sie ersetzt keine vorgeschriebene externe Meldung.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2"/>
        <w:gridCol w:w="6463"/>
      </w:tblGrid>
      <w:tr>
        <w:trPr>
          <w:cantSplit/>
          <w:tblHeader/>
        </w:trPr>
        <w:tc>
          <w:tcPr>
            <w:tcW w:type="dxa" w:w="340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Angabe</w:t>
            </w:r>
          </w:p>
        </w:tc>
        <w:tc>
          <w:tcPr>
            <w:tcW w:type="dxa" w:w="646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Eintrag</w:t>
            </w:r>
          </w:p>
        </w:tc>
      </w:tr>
      <w:tr>
        <w:trPr>
          <w:cantSplit/>
        </w:trPr>
        <w:tc>
          <w:tcPr>
            <w:tcW w:type="dxa" w:w="340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Vorgangsnummer und meldende Person</w:t>
              <w:br/>
              <w:t>Sicherer Rückkontakt</w:t>
            </w:r>
          </w:p>
        </w:tc>
        <w:tc>
          <w:tcPr>
            <w:tcW w:type="dxa" w:w="646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40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Entdeckt am und um</w:t>
              <w:br/>
              <w:t>Zeitzone angeben</w:t>
            </w:r>
          </w:p>
        </w:tc>
        <w:tc>
          <w:tcPr>
            <w:tcW w:type="dxa" w:w="646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40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Beobachtung und Quelle</w:t>
              <w:br/>
              <w:t>Was ist tatsächlich bekannt</w:t>
            </w:r>
          </w:p>
        </w:tc>
        <w:tc>
          <w:tcPr>
            <w:tcW w:type="dxa" w:w="646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40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Betroffene Dienste und Betriebsfolgen</w:t>
              <w:br/>
              <w:t>Was funktioniert nicht mehr</w:t>
            </w:r>
          </w:p>
        </w:tc>
        <w:tc>
          <w:tcPr>
            <w:tcW w:type="dxa" w:w="646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40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Bereits ausgeführte Maßnahmen</w:t>
              <w:br/>
              <w:t>Wer hat wann was getan</w:t>
            </w:r>
          </w:p>
        </w:tc>
        <w:tc>
          <w:tcPr>
            <w:tcW w:type="dxa" w:w="646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40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Informierte Stellen und Übernahme</w:t>
              <w:br/>
              <w:t>Wer bearbeitet die Meldung</w:t>
            </w:r>
          </w:p>
        </w:tc>
        <w:tc>
          <w:tcPr>
            <w:tcW w:type="dxa" w:w="646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40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Offene Fragen und nächstes Update</w:t>
              <w:br/>
              <w:t>Verantwortlich und Zeitpunkt</w:t>
            </w:r>
          </w:p>
        </w:tc>
        <w:tc>
          <w:tcPr>
            <w:tcW w:type="dxa" w:w="646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</w:tbl>
    <w:p>
      <w:pPr>
        <w:spacing w:after="40"/>
      </w:pPr>
    </w:p>
    <w:p>
      <w:pPr>
        <w:pStyle w:val="Heading2"/>
      </w:pPr>
      <w:r>
        <w:t>Informationen sicher übergeben</w:t>
      </w:r>
    </w:p>
    <w:p>
      <w:r>
        <w:t>Keine Passwörter, MFA-Codes oder unnötigen personenbezogenen Daten eintragen. Auf Belege nur über interne Referenzen und freigegebene Ablageorte verweisen. Originale und Protokolldaten durch zuständige Fachleute sichern lassen; Aufbewahrung und Zugriffsrechte abstimmen. Verdächtige Dateien nicht zur Prüfung öffnen oder unkontrolliert weiterleiten.</w:t>
      </w:r>
    </w:p>
    <w:p>
      <w:r>
        <w:br w:type="page"/>
      </w:r>
    </w:p>
    <w:p>
      <w:pPr>
        <w:pStyle w:val="Title"/>
      </w:pPr>
      <w:r>
        <w:t>Vorfallprotokoll und Übergabe</w:t>
      </w:r>
    </w:p>
    <w:p>
      <w:r>
        <w:t>Für die protokollierende Person. Jeden Eintrag mit Datum, Uhrzeit und Zeitzone versehen. Beobachtung, Entscheidung und Ergebnis unterscheiden. Weitere Protokollseiten bei Bedarf kopieren; Korrekturen als neue Einträge ergänzen.</w:t>
      </w:r>
    </w:p>
    <w:p>
      <w:r>
        <w:t>Vorgangsnummer: ____________________  Protokollführung: 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2948"/>
        <w:gridCol w:w="2551"/>
        <w:gridCol w:w="2551"/>
      </w:tblGrid>
      <w:tr>
        <w:trPr>
          <w:cantSplit/>
          <w:tblHeader/>
        </w:trPr>
        <w:tc>
          <w:tcPr>
            <w:tcW w:type="dxa" w:w="181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Zeit und Quelle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Beobachtung oder Entscheidung</w:t>
            </w:r>
          </w:p>
        </w:tc>
        <w:tc>
          <w:tcPr>
            <w:tcW w:type="dxa" w:w="255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Auftrag und Verantwortung</w:t>
            </w:r>
          </w:p>
        </w:tc>
        <w:tc>
          <w:tcPr>
            <w:tcW w:type="dxa" w:w="255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Ergebnis oder Belegreferenz</w:t>
            </w:r>
          </w:p>
        </w:tc>
      </w:tr>
      <w:tr>
        <w:trPr>
          <w:cantSplit/>
        </w:trPr>
        <w:tc>
          <w:tcPr>
            <w:tcW w:type="dxa" w:w="181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</w:t>
              <w:br/>
              <w:t>_______________</w:t>
              <w:br/>
              <w:t>_______________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</w:t>
              <w:br/>
              <w:t>_______________</w:t>
              <w:br/>
              <w:t>_______________</w:t>
            </w:r>
          </w:p>
        </w:tc>
        <w:tc>
          <w:tcPr>
            <w:tcW w:type="dxa" w:w="255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</w:t>
              <w:br/>
              <w:t>_______________</w:t>
              <w:br/>
              <w:t>_______________</w:t>
            </w:r>
          </w:p>
        </w:tc>
        <w:tc>
          <w:tcPr>
            <w:tcW w:type="dxa" w:w="255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</w:t>
              <w:br/>
              <w:t>_______________</w:t>
              <w:br/>
              <w:t>_______________</w:t>
            </w:r>
          </w:p>
        </w:tc>
      </w:tr>
      <w:tr>
        <w:trPr>
          <w:cantSplit/>
        </w:trPr>
        <w:tc>
          <w:tcPr>
            <w:tcW w:type="dxa" w:w="181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</w:t>
              <w:br/>
              <w:t>_______________</w:t>
              <w:br/>
              <w:t>_______________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</w:t>
              <w:br/>
              <w:t>_______________</w:t>
              <w:br/>
              <w:t>_______________</w:t>
            </w:r>
          </w:p>
        </w:tc>
        <w:tc>
          <w:tcPr>
            <w:tcW w:type="dxa" w:w="255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</w:t>
              <w:br/>
              <w:t>_______________</w:t>
              <w:br/>
              <w:t>_______________</w:t>
            </w:r>
          </w:p>
        </w:tc>
        <w:tc>
          <w:tcPr>
            <w:tcW w:type="dxa" w:w="255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</w:t>
              <w:br/>
              <w:t>_______________</w:t>
              <w:br/>
              <w:t>_______________</w:t>
            </w:r>
          </w:p>
        </w:tc>
      </w:tr>
      <w:tr>
        <w:trPr>
          <w:cantSplit/>
        </w:trPr>
        <w:tc>
          <w:tcPr>
            <w:tcW w:type="dxa" w:w="181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</w:t>
              <w:br/>
              <w:t>_______________</w:t>
              <w:br/>
              <w:t>_______________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</w:t>
              <w:br/>
              <w:t>_______________</w:t>
              <w:br/>
              <w:t>_______________</w:t>
            </w:r>
          </w:p>
        </w:tc>
        <w:tc>
          <w:tcPr>
            <w:tcW w:type="dxa" w:w="255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</w:t>
              <w:br/>
              <w:t>_______________</w:t>
              <w:br/>
              <w:t>_______________</w:t>
            </w:r>
          </w:p>
        </w:tc>
        <w:tc>
          <w:tcPr>
            <w:tcW w:type="dxa" w:w="255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</w:t>
              <w:br/>
              <w:t>_______________</w:t>
              <w:br/>
              <w:t>_______________</w:t>
            </w:r>
          </w:p>
        </w:tc>
      </w:tr>
    </w:tbl>
    <w:p>
      <w:pPr>
        <w:spacing w:after="40"/>
      </w:pPr>
    </w:p>
    <w:p>
      <w:pPr>
        <w:pStyle w:val="Heading2"/>
      </w:pPr>
      <w:r>
        <w:t>Übergabe und Wiederanlauf</w:t>
      </w:r>
    </w:p>
    <w:p>
      <w:r>
        <w:t>Aktueller Umfang und verbleibende Risiken: _________________________________</w:t>
        <w:br/>
        <w:t>Offene Maßnahmen mit Verantwortung und Termin: ____________________________</w:t>
        <w:br/>
        <w:t>Übergeben von / an / Zeitpunkt: ____________________________________________</w:t>
        <w:br/>
        <w:t>Wiederanlauf freigegeben durch / Zeitpunkt / Voraussetzungen: __________________</w:t>
        <w:br/>
        <w:t>Funktionsprüfung, Beobachtungszeitraum und nächste Kontrolle: __________________</w:t>
      </w:r>
    </w:p>
    <w:p>
      <w:pPr>
        <w:pStyle w:val="Heading2"/>
      </w:pPr>
      <w:r>
        <w:t>Nachbereitung</w:t>
      </w:r>
    </w:p>
    <w:p>
      <w:r>
        <w:t>Welche Verbesserung wird umgesetzt: _____________________________________</w:t>
        <w:br/>
        <w:t>Verantwortlich / Termin / Wirksamkeit geprüft am: ______________________________</w:t>
      </w:r>
    </w:p>
    <w:p>
      <w:pPr>
        <w:pStyle w:val="Heading2"/>
      </w:pPr>
      <w:r>
        <w:t>Nutzung und fachlicher Bezug</w:t>
      </w:r>
    </w:p>
    <w:p>
      <w:r>
        <w:t>Eigene Vorlagen der Paragamix GmbH. Kostenlos intern nutzen, anpassen und an Kunden weitergeben; ein Quellenlink ist willkommen. Vor Nutzung durch zuständige Personen prüfen. Organisatorische Arbeitshilfe, kein technisches Einsatzhandbuch. Ausgefüllte Unterlagen geschützt aufbewahren.</w:t>
      </w:r>
    </w:p>
    <w:p>
      <w:hyperlink r:id="rId10">
        <w:r>
          <w:rPr>
            <w:color w:val="243D32"/>
            <w:u w:val="single"/>
          </w:rPr>
          <w:t>NIST SP 800 61 Rev 3</w:t>
        </w:r>
      </w:hyperlink>
      <w:r>
        <w:t xml:space="preserve">  |  </w:t>
      </w:r>
      <w:hyperlink r:id="rId11">
        <w:r>
          <w:rPr>
            <w:color w:val="243D32"/>
            <w:u w:val="single"/>
          </w:rPr>
          <w:t>Aktuelle Fassung und Werkzeuge</w:t>
        </w:r>
      </w:hyperlink>
    </w:p>
    <w:sectPr w:rsidR="00FC693F" w:rsidRPr="0006063C" w:rsidSect="00034616">
      <w:footerReference w:type="default" r:id="rId9"/>
      <w:pgSz w:w="11906" w:h="16838"/>
      <w:pgMar w:top="964" w:right="1020" w:bottom="964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40"/>
    </w:pPr>
    <w:r>
      <w:rPr>
        <w:sz w:val="16"/>
      </w:rPr>
      <w:t xml:space="preserve">Paragamix GmbH  |  v1.0  |  12.09.2026  |  </w:t>
    </w:r>
    <w:fldSimple w:instr="PAGE"/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69" w:lineRule="auto"/>
    </w:pPr>
    <w:rPr>
      <w:rFonts w:ascii="Arial" w:hAnsi="Arial"/>
      <w:color w:val="000000"/>
      <w:sz w:val="20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140" w:line="269" w:lineRule="auto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40" w:line="269" w:lineRule="auto"/>
      <w:outlineLvl w:val="1"/>
    </w:pPr>
    <w:rPr>
      <w:rFonts w:asciiTheme="majorHAnsi" w:eastAsiaTheme="majorEastAsia" w:hAnsiTheme="majorHAnsi" w:cstheme="majorBidi" w:ascii="Arial" w:hAnsi="Arial"/>
      <w:b/>
      <w:bCs/>
      <w:color w:val="0000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140" w:line="269" w:lineRule="auto"/>
      <w:contextualSpacing/>
    </w:pPr>
    <w:rPr>
      <w:rFonts w:asciiTheme="majorHAnsi" w:eastAsiaTheme="majorEastAsia" w:hAnsiTheme="majorHAnsi" w:cstheme="majorBidi" w:ascii="Arial" w:hAnsi="Arial"/>
      <w:color w:val="000000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yperlink" Target="https://csrc.nist.gov/pubs/sp/800/61/r3/final" TargetMode="External"/><Relationship Id="rId11" Type="http://schemas.openxmlformats.org/officeDocument/2006/relationships/hyperlink" Target="https://www.paragamix.com/cybervorfall-incident-respons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Cybervorfall Rollen und Meldung</dc:title>
  <dc:subject>Incident response coordination templates</dc:subject>
  <dc:creator>Paragamix GmbH</dc:creator>
  <cp:keywords/>
  <dc:description/>
  <cp:lastModifiedBy/>
  <cp:revision>1</cp:revision>
  <dcterms:created xsi:type="dcterms:W3CDTF">2013-12-23T23:15:00Z</dcterms:created>
  <dcterms:modified xsi:type="dcterms:W3CDTF">2013-12-23T23:15:00Z</dcterms:modified>
  <cp:category/>
</cp:coreProperties>
</file>