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Rules for secure accounts</w:t>
      </w:r>
    </w:p>
    <w:p>
      <w:r>
        <w:t>Editable template for employees and IT. Agree how accounts are protected, recovered and closed. Adapt it to your systems, responsibilities and internal rules before introduction.</w:t>
      </w:r>
    </w:p>
    <w:p>
      <w:r>
        <w:t>Organisation / scope: __________________________________________________</w:t>
        <w:br/>
        <w:t>Owner / approved on / next review: _______________________________________</w:t>
      </w:r>
    </w:p>
    <w:p>
      <w:pPr>
        <w:pStyle w:val="Heading2"/>
      </w:pPr>
      <w:r>
        <w:t>Use individual accounts</w:t>
      </w:r>
    </w:p>
    <w:p>
      <w:r>
        <w:t>Do not share personal accounts. Limit permissions to the task. Keep administrative accounts separate from everyday work.</w:t>
      </w:r>
    </w:p>
    <w:p>
      <w:pPr>
        <w:pStyle w:val="Heading2"/>
      </w:pPr>
      <w:r>
        <w:t>Manage passwords securely</w:t>
      </w:r>
    </w:p>
    <w:p>
      <w:r>
        <w:t>Use a different long password for each service, generated and stored in the approved password manager. Protect the master password and recovery arrangements appropriately.</w:t>
      </w:r>
    </w:p>
    <w:p>
      <w:pPr>
        <w:pStyle w:val="Heading2"/>
      </w:pPr>
      <w:r>
        <w:t>Set up suitable MFA</w:t>
      </w:r>
    </w:p>
    <w:p>
      <w:r>
        <w:t>Work with IT to enable strong multi-factor authentication. Where supported, prefer phishing-resistant options such as appropriately configured FIDO2 passkeys or security keys with a PIN or biometrics.</w:t>
      </w:r>
    </w:p>
    <w:p>
      <w:pPr>
        <w:pStyle w:val="Heading2"/>
      </w:pPr>
      <w:r>
        <w:t>Check sign-in requests carefully</w:t>
      </w:r>
    </w:p>
    <w:p>
      <w:r>
        <w:t>Approve only requests you initiated that match your own sign-in. Reject and report unexpected requests. Do not give callers your password, one-time code or recovery code.</w:t>
      </w:r>
    </w:p>
    <w:p>
      <w:pPr>
        <w:pStyle w:val="Heading2"/>
      </w:pPr>
      <w:r>
        <w:t>Prepare recovery in advance</w:t>
      </w:r>
    </w:p>
    <w:p>
      <w:r>
        <w:t>Agree a backup factor and authorised recovery process. Store codes securely under internal rules, not solely behind the locked account. Never enter codes in this template.</w:t>
      </w:r>
    </w:p>
    <w:p>
      <w:pPr>
        <w:pStyle w:val="Heading2"/>
      </w:pPr>
      <w:r>
        <w:t>Report changes and concerns</w:t>
      </w:r>
    </w:p>
    <w:p>
      <w:r>
        <w:t>Promptly report lost devices, suspicious sign-ins and permissions no longer needed. If compromise is suspected, IT also coordinates review of sessions, factors and application access.</w:t>
      </w:r>
    </w:p>
    <w:p>
      <w:pPr>
        <w:pStyle w:val="Heading2"/>
      </w:pPr>
      <w:r>
        <w:t>Internal contacts</w:t>
      </w:r>
    </w:p>
    <w:p>
      <w:r>
        <w:t>Approved password manager / internal guide: _______________________________</w:t>
        <w:br/>
        <w:t>IT contact / fallback contact when locked out: _________________________________</w:t>
        <w:br/>
        <w:t>Location of recovery instructions without codes: ______________________________</w:t>
      </w:r>
    </w:p>
    <w:p>
      <w:r>
        <w:br w:type="page"/>
      </w:r>
    </w:p>
    <w:p>
      <w:pPr>
        <w:pStyle w:val="Title"/>
      </w:pPr>
      <w:r>
        <w:t>Account recovery checklist</w:t>
      </w:r>
    </w:p>
    <w:p>
      <w:r>
        <w:t>Use the agreed process only for your own accounts or accounts you are explicitly authorised to administer. Involve the responsible IT team; this template does not authorise account takeover.</w:t>
      </w:r>
    </w:p>
    <w:p>
      <w:r>
        <w:t>Affected service / internal case / time: _____________________________________</w:t>
        <w:br/>
        <w:t>Reachable contact / verified by: ___________________________________________</w:t>
      </w:r>
    </w:p>
    <w:p>
      <w:pPr>
        <w:pStyle w:val="Heading2"/>
      </w:pPr>
      <w:r>
        <w:t>Identify the situation</w:t>
      </w:r>
    </w:p>
    <w:p>
      <w:r>
        <w:t>Lost device, broken factor or suspicious sign-in? If compromise is suspected, use the internal incident route immediately; changing the password alone may not be enough.</w:t>
      </w:r>
    </w:p>
    <w:p>
      <w:pPr>
        <w:pStyle w:val="Heading2"/>
      </w:pPr>
      <w:r>
        <w:t>Use a known contact</w:t>
      </w:r>
    </w:p>
    <w:p>
      <w:r>
        <w:t>Contact IT through the recorded number or known portal. Do not seek help through unverified search ads, unfamiliar callback numbers or unexpected links.</w:t>
      </w:r>
    </w:p>
    <w:p>
      <w:pPr>
        <w:pStyle w:val="Heading2"/>
      </w:pPr>
      <w:r>
        <w:t>Let IT verify identity</w:t>
      </w:r>
    </w:p>
    <w:p>
      <w:r>
        <w:t>Follow the agreed identity-checking procedure with IT. Urgency does not replace verification. Do not disclose MFA codes to callers.</w:t>
      </w:r>
    </w:p>
    <w:p>
      <w:pPr>
        <w:pStyle w:val="Heading2"/>
      </w:pPr>
      <w:r>
        <w:t>Use an approved fallback</w:t>
      </w:r>
    </w:p>
    <w:p>
      <w:r>
        <w:t>Use a backup factor or secure recovery procedure as authorised. Have lost factors revoked and new factors registered under controlled conditions.</w:t>
      </w:r>
    </w:p>
    <w:p>
      <w:pPr>
        <w:pStyle w:val="Heading2"/>
      </w:pPr>
      <w:r>
        <w:t>Review other access if compromise is suspected</w:t>
      </w:r>
    </w:p>
    <w:p>
      <w:r>
        <w:t>IT checks active sessions, tokens, application grants, recovery details and mailbox rules, among other relevant items. Block or revoke affected access as appropriate.</w:t>
      </w:r>
    </w:p>
    <w:p>
      <w:pPr>
        <w:pStyle w:val="Heading2"/>
      </w:pPr>
      <w:r>
        <w:t>Record completion</w:t>
      </w:r>
    </w:p>
    <w:p>
      <w:r>
        <w:t>Test contact routes and sign-in, update the fallback and document actions in the internal case. Do not copy secrets into the record.</w:t>
      </w:r>
    </w:p>
    <w:p>
      <w:r>
        <w:t>Actions / owner / completed on: ___________________________________________</w:t>
        <w:br/>
        <w:t>______________________________________________________________________</w:t>
        <w:br/>
        <w:t>Sign-in test result / next review: ___________________________________________</w:t>
      </w:r>
    </w:p>
    <w:p>
      <w:r>
        <w:br w:type="page"/>
      </w:r>
    </w:p>
    <w:p>
      <w:pPr>
        <w:pStyle w:val="Title"/>
      </w:pPr>
      <w:r>
        <w:t>Grant change and revoke access</w:t>
      </w:r>
    </w:p>
    <w:p>
      <w:r>
        <w:t>For joining, changing roles and leaving. HR, the business owner and IT agree approval, implementation and review dates. Add rows for additional services.</w:t>
      </w:r>
    </w:p>
    <w:p>
      <w:r>
        <w:t>Person or internal reference / role: _________________________________________</w:t>
        <w:br/>
        <w:t>Reason / effective from / approved by: 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4195"/>
        <w:gridCol w:w="2948"/>
      </w:tblGrid>
      <w:tr>
        <w:trPr>
          <w:cantSplit/>
          <w:tblHeader/>
        </w:trPr>
        <w:tc>
          <w:tcPr>
            <w:tcW w:type="dxa" w:w="2721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E8EEF0"/>
          </w:tcPr>
          <w:p>
            <w:pPr>
              <w:spacing w:after="60" w:before="60"/>
            </w:pPr>
            <w:r>
              <w:rPr>
                <w:b/>
                <w:sz w:val="18"/>
              </w:rPr>
              <w:t>Service or account</w:t>
            </w:r>
          </w:p>
        </w:tc>
        <w:tc>
          <w:tcPr>
            <w:tcW w:type="dxa" w:w="4195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E8EEF0"/>
          </w:tcPr>
          <w:p>
            <w:pPr>
              <w:spacing w:after="60" w:before="60"/>
            </w:pPr>
            <w:r>
              <w:rPr>
                <w:b/>
                <w:sz w:val="18"/>
              </w:rPr>
              <w:t>Required access and action</w:t>
            </w:r>
          </w:p>
        </w:tc>
        <w:tc>
          <w:tcPr>
            <w:tcW w:type="dxa" w:w="29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E8EEF0"/>
          </w:tcPr>
          <w:p>
            <w:pPr>
              <w:spacing w:after="60" w:before="60"/>
            </w:pPr>
            <w:r>
              <w:rPr>
                <w:b/>
                <w:sz w:val="18"/>
              </w:rPr>
              <w:t>Completion and evidence</w:t>
            </w:r>
          </w:p>
        </w:tc>
      </w:tr>
      <w:tr>
        <w:trPr>
          <w:cantSplit/>
        </w:trPr>
        <w:tc>
          <w:tcPr>
            <w:tcW w:type="dxa" w:w="2721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</w:t>
              <w:br/>
              <w:t>________________</w:t>
            </w:r>
          </w:p>
        </w:tc>
        <w:tc>
          <w:tcPr>
            <w:tcW w:type="dxa" w:w="4195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_______________________</w:t>
              <w:br/>
              <w:t>_______________________</w:t>
            </w:r>
          </w:p>
        </w:tc>
        <w:tc>
          <w:tcPr>
            <w:tcW w:type="dxa" w:w="29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</w:t>
              <w:br/>
              <w:t>________________</w:t>
            </w:r>
          </w:p>
        </w:tc>
      </w:tr>
      <w:tr>
        <w:trPr>
          <w:cantSplit/>
        </w:trPr>
        <w:tc>
          <w:tcPr>
            <w:tcW w:type="dxa" w:w="2721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</w:t>
              <w:br/>
              <w:t>________________</w:t>
            </w:r>
          </w:p>
        </w:tc>
        <w:tc>
          <w:tcPr>
            <w:tcW w:type="dxa" w:w="4195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_______________________</w:t>
              <w:br/>
              <w:t>_______________________</w:t>
            </w:r>
          </w:p>
        </w:tc>
        <w:tc>
          <w:tcPr>
            <w:tcW w:type="dxa" w:w="29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</w:t>
              <w:br/>
              <w:t>________________</w:t>
            </w:r>
          </w:p>
        </w:tc>
      </w:tr>
      <w:tr>
        <w:trPr>
          <w:cantSplit/>
        </w:trPr>
        <w:tc>
          <w:tcPr>
            <w:tcW w:type="dxa" w:w="2721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</w:t>
              <w:br/>
              <w:t>________________</w:t>
            </w:r>
          </w:p>
        </w:tc>
        <w:tc>
          <w:tcPr>
            <w:tcW w:type="dxa" w:w="4195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_______________________</w:t>
              <w:br/>
              <w:t>_______________________</w:t>
            </w:r>
          </w:p>
        </w:tc>
        <w:tc>
          <w:tcPr>
            <w:tcW w:type="dxa" w:w="29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</w:t>
              <w:br/>
              <w:t>________________</w:t>
            </w:r>
          </w:p>
        </w:tc>
      </w:tr>
      <w:tr>
        <w:trPr>
          <w:cantSplit/>
        </w:trPr>
        <w:tc>
          <w:tcPr>
            <w:tcW w:type="dxa" w:w="2721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</w:t>
              <w:br/>
              <w:t>________________</w:t>
            </w:r>
          </w:p>
        </w:tc>
        <w:tc>
          <w:tcPr>
            <w:tcW w:type="dxa" w:w="4195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_______________________</w:t>
              <w:br/>
              <w:t>_______________________</w:t>
            </w:r>
          </w:p>
        </w:tc>
        <w:tc>
          <w:tcPr>
            <w:tcW w:type="dxa" w:w="29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</w:t>
              <w:br/>
              <w:t>________________</w:t>
            </w:r>
          </w:p>
        </w:tc>
      </w:tr>
    </w:tbl>
    <w:p>
      <w:pPr>
        <w:spacing w:after="40"/>
      </w:pPr>
    </w:p>
    <w:p>
      <w:pPr>
        <w:pStyle w:val="Heading2"/>
      </w:pPr>
      <w:r>
        <w:t>When joining or changing roles</w:t>
      </w:r>
    </w:p>
    <w:p>
      <w:r>
        <w:t>Verify identity and approval, grant only necessary access and prepare MFA and recovery. Explicitly remove old permissions after role changes. Record expiry and the next review; approve administrative privileges separately.</w:t>
      </w:r>
    </w:p>
    <w:p>
      <w:pPr>
        <w:pStyle w:val="Heading2"/>
      </w:pPr>
      <w:r>
        <w:t>When leaving</w:t>
      </w:r>
    </w:p>
    <w:p>
      <w:r>
        <w:t>At the approved time, disable accounts and remote access, revoke sessions and tokens and review MFA factors. Include services outside the central login. Check devices, keys and shared secrets; rotate affected shared secrets. Transfer data and responsibilities under internal rules. Address deletion and retention separately.</w:t>
      </w:r>
    </w:p>
    <w:p>
      <w:r>
        <w:t>Completion checked by / date / open issues: _________________________________</w:t>
      </w:r>
    </w:p>
    <w:p>
      <w:pPr>
        <w:pStyle w:val="Heading2"/>
      </w:pPr>
      <w:r>
        <w:t>Use and sources</w:t>
      </w:r>
    </w:p>
    <w:p>
      <w:r>
        <w:t>Original Paragamix GmbH templates. Free to use internally, adapt and share with clients. A source link is welcome but not required. Not a complete access audit or confirmation of compliance. Never record passwords, tokens or recovery codes.</w:t>
      </w:r>
    </w:p>
    <w:p>
      <w:hyperlink r:id="rId10">
        <w:r>
          <w:rPr>
            <w:color w:val="243D32"/>
            <w:u w:val="single"/>
          </w:rPr>
          <w:t>NCSC Identity and access</w:t>
        </w:r>
      </w:hyperlink>
      <w:r>
        <w:t xml:space="preserve"> | </w:t>
      </w:r>
      <w:hyperlink r:id="rId11">
        <w:r>
          <w:rPr>
            <w:color w:val="243D32"/>
            <w:u w:val="single"/>
          </w:rPr>
          <w:t>NCSC MFA</w:t>
        </w:r>
      </w:hyperlink>
      <w:r>
        <w:t xml:space="preserve"> | </w:t>
      </w:r>
      <w:hyperlink r:id="rId12">
        <w:r>
          <w:rPr>
            <w:color w:val="243D32"/>
            <w:u w:val="single"/>
          </w:rPr>
          <w:t>NCSC Password managers</w:t>
        </w:r>
      </w:hyperlink>
    </w:p>
    <w:p>
      <w:hyperlink r:id="rId13">
        <w:r>
          <w:rPr>
            <w:color w:val="243D32"/>
            <w:u w:val="single"/>
          </w:rPr>
          <w:t>Current version and practice cases</w:t>
        </w:r>
      </w:hyperlink>
    </w:p>
    <w:sectPr w:rsidR="00FC693F" w:rsidRPr="0006063C" w:rsidSect="00034616">
      <w:footerReference w:type="default" r:id="rId9"/>
      <w:pgSz w:w="11906" w:h="16838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</w:pPr>
    <w:r>
      <w:rPr>
        <w:sz w:val="16"/>
      </w:rPr>
      <w:t xml:space="preserve">Paragamix GmbH  |  v1.0  |  12.09.2026  |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9" w:lineRule="auto"/>
    </w:pPr>
    <w:rPr>
      <w:rFonts w:ascii="Arial" w:hAnsi="Arial"/>
      <w:color w:val="000000"/>
      <w:sz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140" w:line="269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40" w:line="269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40" w:line="269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www.ncsc.gov.uk/collection/10-steps/identity-and-access-management" TargetMode="External"/><Relationship Id="rId11" Type="http://schemas.openxmlformats.org/officeDocument/2006/relationships/hyperlink" Target="https://www.ncsc.gov.uk/collection/mfa-for-your-corporate-online-services/recommended-types-of-mfa" TargetMode="External"/><Relationship Id="rId12" Type="http://schemas.openxmlformats.org/officeDocument/2006/relationships/hyperlink" Target="https://www.ncsc.gov.uk/collection/passwords/password-manager-buyers-guide" TargetMode="External"/><Relationship Id="rId13" Type="http://schemas.openxmlformats.org/officeDocument/2006/relationships/hyperlink" Target="https://www.paragamix.com/secure-accounts-access-toolk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Secure accounts and access</dc:title>
  <dc:subject>Account access and recovery templates</dc:subject>
  <dc:creator>Paragamix GmbH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