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Regeln für sichere Konten</w:t>
      </w:r>
    </w:p>
    <w:p>
      <w:r>
        <w:t>Anpassbare Vorlage für Mitarbeitende und IT. Vereinbaren Sie, wie Konten geschützt, wiederhergestellt und beendet werden. Vor Einführung an Ihre Systeme, Zuständigkeiten und internen Vorgaben anpassen.</w:t>
      </w:r>
    </w:p>
    <w:p>
      <w:r>
        <w:t>Unternehmen / Geltungsbereich: __________________________________________</w:t>
        <w:br/>
        <w:t>Verantwortlich / freigegeben am / nächste Prüfung: ___________________________</w:t>
      </w:r>
    </w:p>
    <w:p>
      <w:pPr>
        <w:pStyle w:val="Heading2"/>
      </w:pPr>
      <w:r>
        <w:t>Eigene Konten verwenden</w:t>
      </w:r>
    </w:p>
    <w:p>
      <w:r>
        <w:t>Persönliche Konten nicht weitergeben. Berechtigungen auf die benötigte Aufgabe begrenzen. Administrationskonten von der täglichen Arbeit trennen.</w:t>
      </w:r>
    </w:p>
    <w:p>
      <w:pPr>
        <w:pStyle w:val="Heading2"/>
      </w:pPr>
      <w:r>
        <w:t>Passwörter sicher verwalten</w:t>
      </w:r>
    </w:p>
    <w:p>
      <w:r>
        <w:t>Für jeden Dienst ein eigenes langes Passwort verwenden und mit dem freigegebenen Passwortmanager erzeugen und speichern. Masterpasswort und Wiederherstellung passend absichern.</w:t>
      </w:r>
    </w:p>
    <w:p>
      <w:pPr>
        <w:pStyle w:val="Heading2"/>
      </w:pPr>
      <w:r>
        <w:t>MFA passend einrichten</w:t>
      </w:r>
    </w:p>
    <w:p>
      <w:r>
        <w:t>Mit IT starke Mehrfaktor-Authentisierung einrichten. Wo unterstützt, phishingresistente Verfahren wie passend konfigurierte FIDO2-Passkeys oder Sicherheitsschlüssel mit PIN oder Biometrie bevorzugen.</w:t>
      </w:r>
    </w:p>
    <w:p>
      <w:pPr>
        <w:pStyle w:val="Heading2"/>
      </w:pPr>
      <w:r>
        <w:t>Anmeldeanfragen bewusst prüfen</w:t>
      </w:r>
    </w:p>
    <w:p>
      <w:r>
        <w:t>Nur selbst ausgelöste, zum eigenen Anmeldevorgang passende Anfragen bestätigen. Unerwartete Anfragen ablehnen und melden. Passwort, Einmalcode und Wiederherstellungscode nicht an Anrufende weitergeben.</w:t>
      </w:r>
    </w:p>
    <w:p>
      <w:pPr>
        <w:pStyle w:val="Heading2"/>
      </w:pPr>
      <w:r>
        <w:t>Wiederherstellung vorbereiten</w:t>
      </w:r>
    </w:p>
    <w:p>
      <w:r>
        <w:t>Ersatzfaktor und genehmigten Wiederherstellungsweg vorab klären. Codes geschützt nach interner Vorgabe aufbewahren, nicht ausschließlich hinter dem gesperrten Konto. Keine Codes in diese Vorlage eintragen.</w:t>
      </w:r>
    </w:p>
    <w:p>
      <w:pPr>
        <w:pStyle w:val="Heading2"/>
      </w:pPr>
      <w:r>
        <w:t>Änderungen und Verdacht melden</w:t>
      </w:r>
    </w:p>
    <w:p>
      <w:r>
        <w:t>Verlust eines Geräts, verdächtige Anmeldungen und nicht mehr benötigte Rechte zeitnah melden. Bei Verdacht koordiniert IT auch die Prüfung aktiver Sitzungen, Faktoren und App-Zugriffe.</w:t>
      </w:r>
    </w:p>
    <w:p>
      <w:pPr>
        <w:pStyle w:val="Heading2"/>
      </w:pPr>
      <w:r>
        <w:t>Interne Anlaufstellen</w:t>
      </w:r>
    </w:p>
    <w:p>
      <w:r>
        <w:t>Freigegebener Passwortmanager / interne Anleitung: __________________________</w:t>
        <w:br/>
        <w:t>IT-Kontakt / Ersatzkontakt bei Kontosperre: __________________________________</w:t>
        <w:br/>
        <w:t>Ablage der Wiederherstellungsanleitung ohne Codes: __________________________</w:t>
      </w:r>
    </w:p>
    <w:p>
      <w:r>
        <w:br w:type="page"/>
      </w:r>
    </w:p>
    <w:p>
      <w:pPr>
        <w:pStyle w:val="Title"/>
      </w:pPr>
      <w:r>
        <w:t>Checkliste zur Kontowiederherstellung</w:t>
      </w:r>
    </w:p>
    <w:p>
      <w:r>
        <w:t>Nur das abgestimmte Verfahren für eigene oder ausdrücklich zur Betreuung freigegebene Konten verwenden. Zuständige IT einbeziehen; diese Vorlage ist keine Berechtigung zur Kontoübernahme.</w:t>
      </w:r>
    </w:p>
    <w:p>
      <w:r>
        <w:t>Betroffener Dienst / interner Vorgang / Zeitpunkt: ____________________________</w:t>
        <w:br/>
        <w:t>Erreichbarer Kontakt / geprüft durch: _______________________________________</w:t>
      </w:r>
    </w:p>
    <w:p>
      <w:pPr>
        <w:pStyle w:val="Heading2"/>
      </w:pPr>
      <w:r>
        <w:t>Situation unterscheiden</w:t>
      </w:r>
    </w:p>
    <w:p>
      <w:r>
        <w:t>Gerät verloren, Faktor defekt oder verdächtige Anmeldung? Bei Verdacht sofort den internen Vorfallweg nutzen; ein Passwortwechsel allein genügt möglicherweise nicht.</w:t>
      </w:r>
    </w:p>
    <w:p>
      <w:pPr>
        <w:pStyle w:val="Heading2"/>
      </w:pPr>
      <w:r>
        <w:t>Bekannten Kontakt nutzen</w:t>
      </w:r>
    </w:p>
    <w:p>
      <w:r>
        <w:t>IT über die hinterlegte Nummer oder das bekannte Portal erreichen. Keine Hilfe über ungeprüfte Suchanzeigen, fremde Rückrufnummern oder unerwartete Links anfordern.</w:t>
      </w:r>
    </w:p>
    <w:p>
      <w:pPr>
        <w:pStyle w:val="Heading2"/>
      </w:pPr>
      <w:r>
        <w:t>Identität prüfen lassen</w:t>
      </w:r>
    </w:p>
    <w:p>
      <w:r>
        <w:t>Das vereinbarte Prüfverfahren mit IT durchführen. Dringlichkeit ist kein Ersatz für Identitätsprüfung. Keine MFA-Codes an Anrufende übermitteln.</w:t>
      </w:r>
    </w:p>
    <w:p>
      <w:pPr>
        <w:pStyle w:val="Heading2"/>
      </w:pPr>
      <w:r>
        <w:t>Freigegebenen Ersatzweg nutzen</w:t>
      </w:r>
    </w:p>
    <w:p>
      <w:r>
        <w:t>Ersatzfaktor oder geschützte Wiederherstellung nach interner Freigabe einsetzen. Verlorene Faktoren sperren und neue Faktoren kontrolliert registrieren lassen.</w:t>
      </w:r>
    </w:p>
    <w:p>
      <w:pPr>
        <w:pStyle w:val="Heading2"/>
      </w:pPr>
      <w:r>
        <w:t>Bei Verdacht weitere Zugriffe prüfen</w:t>
      </w:r>
    </w:p>
    <w:p>
      <w:r>
        <w:t>IT prüft unter anderem aktive Sitzungen, Tokens, App-Freigaben, Wiederherstellungsdaten und Postfachregeln. Betroffene Zugriffe nach Lage sperren oder widerrufen.</w:t>
      </w:r>
    </w:p>
    <w:p>
      <w:pPr>
        <w:pStyle w:val="Heading2"/>
      </w:pPr>
      <w:r>
        <w:t>Abschluss dokumentieren</w:t>
      </w:r>
    </w:p>
    <w:p>
      <w:r>
        <w:t>Erreichbarkeit und Anmeldung testen, Ersatzweg aktualisieren und Maßnahmen im internen Vorgang festhalten. Keine Geheimnisse in das Protokoll kopieren.</w:t>
      </w:r>
    </w:p>
    <w:p>
      <w:r>
        <w:t>Maßnahmen / zuständig / abgeschlossen am: _________________________________</w:t>
        <w:br/>
        <w:t>______________________________________________________________________</w:t>
        <w:br/>
        <w:t>Ergebnis des Anmeldetests / nächste Prüfung: ________________________________</w:t>
      </w:r>
    </w:p>
    <w:p>
      <w:r>
        <w:br w:type="page"/>
      </w:r>
    </w:p>
    <w:p>
      <w:pPr>
        <w:pStyle w:val="Title"/>
      </w:pPr>
      <w:r>
        <w:t>Zugänge vergeben ändern und entziehen</w:t>
      </w:r>
    </w:p>
    <w:p>
      <w:r>
        <w:t>Für Eintritt, Rollenwechsel und Austritt. Personalverantwortliche, Fachbereich und IT legen Freigabe, Umsetzung und Kontrolltermin fest. Für zusätzliche Dienste weitere Zeilen ergänzen.</w:t>
      </w:r>
    </w:p>
    <w:p>
      <w:r>
        <w:t>Person oder interne Referenz / Rolle: _______________________________________</w:t>
        <w:br/>
        <w:t>Anlass / wirksam ab / freigegeben durch: 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4195"/>
        <w:gridCol w:w="2948"/>
      </w:tblGrid>
      <w:tr>
        <w:trPr>
          <w:cantSplit/>
          <w:tblHeader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8EEF0"/>
          </w:tcPr>
          <w:p>
            <w:pPr>
              <w:spacing w:after="60" w:before="60"/>
            </w:pPr>
            <w:r>
              <w:rPr>
                <w:b/>
                <w:sz w:val="18"/>
              </w:rPr>
              <w:t>Dienst oder Konto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8EEF0"/>
          </w:tcPr>
          <w:p>
            <w:pPr>
              <w:spacing w:after="60" w:before="60"/>
            </w:pPr>
            <w:r>
              <w:rPr>
                <w:b/>
                <w:sz w:val="18"/>
              </w:rPr>
              <w:t>Benötigte Rechte und Aktion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E8EEF0"/>
          </w:tcPr>
          <w:p>
            <w:pPr>
              <w:spacing w:after="60" w:before="60"/>
            </w:pPr>
            <w:r>
              <w:rPr>
                <w:b/>
                <w:sz w:val="18"/>
              </w:rPr>
              <w:t>Umsetzung und Beleg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  <w:tr>
        <w:trPr>
          <w:cantSplit/>
        </w:trPr>
        <w:tc>
          <w:tcPr>
            <w:tcW w:type="dxa" w:w="2721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  <w:tc>
          <w:tcPr>
            <w:tcW w:type="dxa" w:w="4195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_______________________</w:t>
              <w:br/>
              <w:t>_______________________</w:t>
            </w:r>
          </w:p>
        </w:tc>
        <w:tc>
          <w:tcPr>
            <w:tcW w:type="dxa" w:w="294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spacing w:after="60" w:before="60"/>
            </w:pPr>
            <w:r>
              <w:rPr>
                <w:b w:val="0"/>
                <w:sz w:val="18"/>
              </w:rPr>
              <w:t>________________</w:t>
              <w:br/>
              <w:t>________________</w:t>
            </w:r>
          </w:p>
        </w:tc>
      </w:tr>
    </w:tbl>
    <w:p>
      <w:pPr>
        <w:spacing w:after="40"/>
      </w:pPr>
    </w:p>
    <w:p>
      <w:pPr>
        <w:pStyle w:val="Heading2"/>
      </w:pPr>
      <w:r>
        <w:t>Bei Eintritt und Rollenwechsel</w:t>
      </w:r>
    </w:p>
    <w:p>
      <w:r>
        <w:t>Identität und Freigabe prüfen, nur erforderliche Rechte einrichten, MFA und Wiederherstellung vorbereiten. Beim Wechsel alte Rechte ausdrücklich entfernen. Befristung und nächste Prüfung dokumentieren; administrative Rechte separat freigeben.</w:t>
      </w:r>
    </w:p>
    <w:p>
      <w:pPr>
        <w:pStyle w:val="Heading2"/>
      </w:pPr>
      <w:r>
        <w:t>Beim Austritt</w:t>
      </w:r>
    </w:p>
    <w:p>
      <w:r>
        <w:t>Zum freigegebenen Zeitpunkt Konten und Fernzugänge sperren, Sitzungen und Tokens widerrufen und MFA-Faktoren prüfen. Auch Dienste außerhalb des zentralen Logins berücksichtigen. Geräte, Schlüssel und gemeinsame Geheimnisse prüfen; betroffene gemeinsame Geheimnisse erneuern. Daten und Verantwortlichkeiten nach internen Vorgaben übergeben. Löschungen und Aufbewahrung gesondert klären.</w:t>
      </w:r>
    </w:p>
    <w:p>
      <w:r>
        <w:t>Abschlusskontrolle durch / Datum / offene Punkte: ____________________________</w:t>
      </w:r>
    </w:p>
    <w:p>
      <w:pPr>
        <w:pStyle w:val="Heading2"/>
      </w:pPr>
      <w:r>
        <w:t>Nutzung und Quellen</w:t>
      </w:r>
    </w:p>
    <w:p>
      <w:r>
        <w:t>Eigene Vorlagen der Paragamix GmbH. Kostenlos intern nutzen, anpassen und an Kunden weitergeben. Quellenlink willkommen, aber nicht erforderlich. Keine vollständige Berechtigungsprüfung oder Konformitätsbestätigung. Keine Passwörter, Tokens oder Wiederherstellungscodes eintragen.</w:t>
      </w:r>
    </w:p>
    <w:p>
      <w:hyperlink r:id="rId10">
        <w:r>
          <w:rPr>
            <w:color w:val="243D32"/>
            <w:u w:val="single"/>
          </w:rPr>
          <w:t>NCSC Identity and access</w:t>
        </w:r>
      </w:hyperlink>
      <w:r>
        <w:t xml:space="preserve"> | </w:t>
      </w:r>
      <w:hyperlink r:id="rId11">
        <w:r>
          <w:rPr>
            <w:color w:val="243D32"/>
            <w:u w:val="single"/>
          </w:rPr>
          <w:t>NCSC MFA</w:t>
        </w:r>
      </w:hyperlink>
      <w:r>
        <w:t xml:space="preserve"> | </w:t>
      </w:r>
      <w:hyperlink r:id="rId12">
        <w:r>
          <w:rPr>
            <w:color w:val="243D32"/>
            <w:u w:val="single"/>
          </w:rPr>
          <w:t>NCSC Password managers</w:t>
        </w:r>
      </w:hyperlink>
    </w:p>
    <w:p>
      <w:hyperlink r:id="rId13">
        <w:r>
          <w:rPr>
            <w:color w:val="243D32"/>
            <w:u w:val="single"/>
          </w:rPr>
          <w:t>Aktuelle Fassung und Praxisfälle</w:t>
        </w:r>
      </w:hyperlink>
    </w:p>
    <w:sectPr w:rsidR="00FC693F" w:rsidRPr="0006063C" w:rsidSect="00034616">
      <w:footerReference w:type="default" r:id="rId9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</w:pPr>
    <w:r>
      <w:rPr>
        <w:sz w:val="16"/>
      </w:rPr>
      <w:t xml:space="preserve">Paragamix GmbH  |  v1.0  |  12.09.2026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000000"/>
      <w:sz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40" w:line="269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 w:line="269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69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ncsc.gov.uk/collection/10-steps/identity-and-access-management" TargetMode="External"/><Relationship Id="rId11" Type="http://schemas.openxmlformats.org/officeDocument/2006/relationships/hyperlink" Target="https://www.ncsc.gov.uk/collection/mfa-for-your-corporate-online-services/recommended-types-of-mfa" TargetMode="External"/><Relationship Id="rId12" Type="http://schemas.openxmlformats.org/officeDocument/2006/relationships/hyperlink" Target="https://www.ncsc.gov.uk/collection/passwords/password-manager-buyers-guide" TargetMode="External"/><Relationship Id="rId13" Type="http://schemas.openxmlformats.org/officeDocument/2006/relationships/hyperlink" Target="https://www.paragamix.com/sichere-konten-zugaen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Sichere Konten und Zugänge</dc:title>
  <dc:subject>Account access and recovery templates</dc:subject>
  <dc:creator>Paragamix GmbH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