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Dienstleister und Abhängigkeiten</w:t>
      </w:r>
    </w:p>
    <w:p>
      <w:r>
        <w:t>Vorlagen für Einkauf, IT und Fachverantwortliche. Erfassen Sie zuerst einen wichtigen Dienstleister, prüfen Sie dessen Zugänge und vereinbaren Sie Meldewege. Angaben gemeinsam verifizieren; ein ausgefülltes Blatt ist noch keine Freigabe.</w:t>
      </w:r>
    </w:p>
    <w:p>
      <w:r>
        <w:t>Unternehmen / verantwortlich / Stand: ______________________________________</w:t>
      </w:r>
    </w:p>
    <w:tbl>
      <w:tblPr>
        <w:tblW w:type="auto" w:w="0"/>
        <w:jc w:val="center"/>
        <w:tblLayout w:type="fixed"/>
        <w:tblLook w:firstColumn="1" w:firstRow="1" w:lastColumn="0" w:lastRow="0" w:noHBand="0" w:noVBand="1" w:val="04A0"/>
      </w:tblPr>
      <w:tblGrid>
        <w:gridCol w:w="3515"/>
        <w:gridCol w:w="6350"/>
      </w:tblGrid>
      <w:tr>
        <w:trPr>
          <w:cantSplit/>
          <w:tblHeader/>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Prüffeld</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Angaben oder geschützte Referenz</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Dienstleister und konkrete Leistung</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Interne Ansprechperson und Vertretung</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Betroffener Geschäftsablauf</w:t>
              <w:br/>
              <w:t>Folgen eines Ausfalls oder Datenverlusts</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Daten und Systemzugänge</w:t>
              <w:br/>
              <w:t>Nur Kategorien oder interne Referenzen</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Wesentliche Unterauftragnehmer</w:t>
              <w:br/>
              <w:t>Soweit für die Leistung relevant</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Ersatzlösung und Wechselmöglichkeit</w:t>
              <w:br/>
              <w:t>Was ist getestet, was ist nur geplant?</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bl>
    <w:p>
      <w:pPr>
        <w:spacing w:after="40"/>
      </w:pPr>
    </w:p>
    <w:p>
      <w:pPr>
        <w:pStyle w:val="Heading2"/>
      </w:pPr>
      <w:r>
        <w:t>Prüfumfang festlegen</w:t>
      </w:r>
    </w:p>
    <w:p>
      <w:r>
        <w:t>Priorität mit Begründung: _________________________________________________</w:t>
        <w:br/>
        <w:t>Benötigte Sicherheitsnachweise / Geltungsbereich / geprüft am: _________________</w:t>
        <w:br/>
        <w:t>______________________________________________________________________</w:t>
        <w:br/>
        <w:t>Offene Punkte / zuständig / Termin: _________________________________________</w:t>
      </w:r>
    </w:p>
    <w:p>
      <w:r>
        <w:t>Die Prüfung richtet sich nach Leistung, Daten und möglichen Auswirkungen. Ein Zertifikat allein bestätigt nicht, dass der konkrete Dienst alle Anforderungen erfüllt. Keine Zugangsdaten oder vollständigen Kundendaten in diese Vorlage eintragen.</w:t>
      </w:r>
    </w:p>
    <w:p>
      <w:r>
        <w:br w:type="page"/>
      </w:r>
    </w:p>
    <w:p>
      <w:pPr>
        <w:pStyle w:val="Title"/>
      </w:pPr>
      <w:r>
        <w:t>Zugänge prüfen und beenden</w:t>
      </w:r>
    </w:p>
    <w:p>
      <w:r>
        <w:t>Vor dem ersten Zugriff, bei Änderungen und zum vereinbarten Prüftermin durch IT und Fachverantwortliche prüfen. Den Entzug beim Vertragsende ausdrücklich zuweisen.</w:t>
      </w:r>
    </w:p>
    <w:p>
      <w:r>
        <w:t>Dienstleister / Freigabeverantwortlich: ______________________________________</w:t>
      </w:r>
    </w:p>
    <w:tbl>
      <w:tblPr>
        <w:tblW w:type="auto" w:w="0"/>
        <w:jc w:val="center"/>
        <w:tblLayout w:type="fixed"/>
        <w:tblLook w:firstColumn="1" w:firstRow="1" w:lastColumn="0" w:lastRow="0" w:noHBand="0" w:noVBand="1" w:val="04A0"/>
      </w:tblPr>
      <w:tblGrid>
        <w:gridCol w:w="2721"/>
        <w:gridCol w:w="4195"/>
        <w:gridCol w:w="2948"/>
      </w:tblGrid>
      <w:tr>
        <w:trPr>
          <w:cantSplit/>
          <w:tblHeader/>
        </w:trPr>
        <w:tc>
          <w:tcPr>
            <w:tcW w:type="dxa" w:w="272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Konto oder System</w:t>
            </w:r>
          </w:p>
        </w:tc>
        <w:tc>
          <w:tcPr>
            <w:tcW w:type="dxa" w:w="419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Zweck und benötigte Rechte</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Verantwortlich und Ende</w:t>
            </w:r>
          </w:p>
        </w:tc>
      </w:tr>
      <w:tr>
        <w:trPr>
          <w:cantSplit/>
        </w:trPr>
        <w:tc>
          <w:tcPr>
            <w:tcW w:type="dxa" w:w="272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419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w:t>
              <w:br/>
              <w:t>______________________</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r>
        <w:trPr>
          <w:cantSplit/>
        </w:trPr>
        <w:tc>
          <w:tcPr>
            <w:tcW w:type="dxa" w:w="272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419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w:t>
              <w:br/>
              <w:t>______________________</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r>
        <w:trPr>
          <w:cantSplit/>
        </w:trPr>
        <w:tc>
          <w:tcPr>
            <w:tcW w:type="dxa" w:w="2721"/>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c>
          <w:tcPr>
            <w:tcW w:type="dxa" w:w="419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w:t>
              <w:br/>
              <w:t>______________________</w:t>
            </w:r>
          </w:p>
        </w:tc>
        <w:tc>
          <w:tcPr>
            <w:tcW w:type="dxa" w:w="2948"/>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w:t>
              <w:br/>
              <w:t>________________</w:t>
            </w:r>
          </w:p>
        </w:tc>
      </w:tr>
    </w:tbl>
    <w:p>
      <w:pPr>
        <w:spacing w:after="40"/>
      </w:pPr>
    </w:p>
    <w:p>
      <w:pPr>
        <w:pStyle w:val="Heading2"/>
      </w:pPr>
      <w:r>
        <w:t>Identität und Auftrag</w:t>
      </w:r>
    </w:p>
    <w:p>
      <w:r>
        <w:t>Anfrage über einen bekannten Kontakt bestätigen; ungewöhnliche Dringlichkeit ersetzt keine Prüfung.</w:t>
      </w:r>
    </w:p>
    <w:p>
      <w:pPr>
        <w:pStyle w:val="Heading2"/>
      </w:pPr>
      <w:r>
        <w:t>Rechte und Schutz</w:t>
      </w:r>
    </w:p>
    <w:p>
      <w:r>
        <w:t>Personenbezogene Konten, notwendige Rechte, geeignete MFA und freigegebenen Fernzugang mit IT festlegen. Ausnahmen begründen und befristen.</w:t>
      </w:r>
    </w:p>
    <w:p>
      <w:pPr>
        <w:pStyle w:val="Heading2"/>
      </w:pPr>
      <w:r>
        <w:t>Nachvollziehbarkeit</w:t>
      </w:r>
    </w:p>
    <w:p>
      <w:r>
        <w:t>Verantwortung für Protokollierung und Prüfung festlegen. Geheimnisse nur über freigegebene Verfahren austauschen.</w:t>
      </w:r>
    </w:p>
    <w:p>
      <w:pPr>
        <w:pStyle w:val="Heading2"/>
      </w:pPr>
      <w:r>
        <w:t>Änderungen und Unterauftragnehmer</w:t>
      </w:r>
    </w:p>
    <w:p>
      <w:r>
        <w:t>Neue Personen, Zwecke oder weitere Dienstleister vor zusätzlichem Zugriff prüfen. Betroffene Daten und Systeme aktualisieren.</w:t>
      </w:r>
    </w:p>
    <w:p>
      <w:pPr>
        <w:pStyle w:val="Heading2"/>
      </w:pPr>
      <w:r>
        <w:t>Vertragsende und Übergabe</w:t>
      </w:r>
    </w:p>
    <w:p>
      <w:r>
        <w:t>Konten und Tokens entziehen, Verbindungen schließen sowie Datenrückgabe oder Löschung nach Vereinbarung nachweisen lassen. Gemeinsame Geheimnisse bei Bedarf erneuern.</w:t>
      </w:r>
    </w:p>
    <w:p>
      <w:r>
        <w:t>Entscheidung / Bedingungen / nächste Prüfung: ______________________________</w:t>
        <w:br/>
        <w:t>Entzug durchgeführt durch / Datum / Beleg: __________________________________</w:t>
      </w:r>
    </w:p>
    <w:p>
      <w:r>
        <w:br w:type="page"/>
      </w:r>
    </w:p>
    <w:p>
      <w:pPr>
        <w:pStyle w:val="Title"/>
      </w:pPr>
      <w:r>
        <w:t>Meldewege und gemeinsamer Probelauf</w:t>
      </w:r>
    </w:p>
    <w:p>
      <w:r>
        <w:t>Vereinbaren Sie erreichbare Kontakte und Zuständigkeiten für einen Vorfall beim Dienstleister. Bewahren Sie diese Angaben geschützt und auch bei Ausfall der üblichen Systeme erreichbar auf.</w:t>
      </w:r>
    </w:p>
    <w:tbl>
      <w:tblPr>
        <w:tblW w:type="auto" w:w="0"/>
        <w:jc w:val="center"/>
        <w:tblLayout w:type="fixed"/>
        <w:tblLook w:firstColumn="1" w:firstRow="1" w:lastColumn="0" w:lastRow="0" w:noHBand="0" w:noVBand="1" w:val="04A0"/>
      </w:tblPr>
      <w:tblGrid>
        <w:gridCol w:w="3515"/>
        <w:gridCol w:w="6350"/>
      </w:tblGrid>
      <w:tr>
        <w:trPr>
          <w:cantSplit/>
          <w:tblHeader/>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Kontakt oder Vereinbarung</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shd w:fill="E8EEF0"/>
          </w:tcPr>
          <w:p>
            <w:pPr>
              <w:spacing w:after="60" w:before="60"/>
            </w:pPr>
            <w:r>
              <w:rPr>
                <w:b/>
                <w:sz w:val="18"/>
              </w:rPr>
              <w:t>Geprüfte Angabe oder Referenz</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Interne Koordination und Vertretung</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Dienstleisterkontakt und Ersatzkanal</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Meldeauslöser und vereinbarte Reaktionszeiten</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r>
        <w:trPr>
          <w:cantSplit/>
        </w:trPr>
        <w:tc>
          <w:tcPr>
            <w:tcW w:type="dxa" w:w="3515"/>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Nächstes Lageupdate und Informationsweg</w:t>
            </w:r>
          </w:p>
        </w:tc>
        <w:tc>
          <w:tcPr>
            <w:tcW w:type="dxa" w:w="6350"/>
            <w:vAlign w:val="center"/>
            <w:tcBorders>
              <w:top w:val="single" w:sz="4" w:color="D9D9D9"/>
              <w:left w:val="single" w:sz="4" w:color="D9D9D9"/>
              <w:bottom w:val="single" w:sz="4" w:color="D9D9D9"/>
              <w:right w:val="single" w:sz="4" w:color="D9D9D9"/>
            </w:tcBorders>
            <w:tcMar>
              <w:top w:w="90" w:type="dxa"/>
              <w:left w:w="90" w:type="dxa"/>
              <w:bottom w:w="90" w:type="dxa"/>
              <w:right w:w="90" w:type="dxa"/>
            </w:tcMar>
          </w:tcPr>
          <w:p>
            <w:pPr>
              <w:spacing w:after="60" w:before="60"/>
            </w:pPr>
            <w:r>
              <w:rPr>
                <w:b w:val="0"/>
                <w:sz w:val="18"/>
              </w:rPr>
              <w:t>________________________________________________</w:t>
              <w:br/>
              <w:t>________________________________________________</w:t>
            </w:r>
          </w:p>
        </w:tc>
      </w:tr>
    </w:tbl>
    <w:p>
      <w:pPr>
        <w:spacing w:after="40"/>
      </w:pPr>
    </w:p>
    <w:p>
      <w:pPr>
        <w:pStyle w:val="Heading2"/>
      </w:pPr>
      <w:r>
        <w:t>Was die erste Meldung enthalten soll</w:t>
      </w:r>
    </w:p>
    <w:p>
      <w:r>
        <w:t>Beobachtung und Zeitpunkt mit Zeitzone, betroffene Leistung, bekannte Auswirkungen, bisherige Maßnahmen und erreichbare Kontaktperson. Vermutungen als solche kennzeichnen; fehlende Angaben nachreichen. IT koordiniert erforderliche Maßnahmen. Gesetzliche oder vertragliche Meldepflichten durch zuständige Personen gesondert prüfen.</w:t>
      </w:r>
    </w:p>
    <w:p>
      <w:pPr>
        <w:pStyle w:val="Heading2"/>
      </w:pPr>
      <w:r>
        <w:t>Fiktiver Übungsfall</w:t>
      </w:r>
    </w:p>
    <w:p>
      <w:r>
        <w:t>Ihr IT-Dienstleister meldet einen möglichen Kontodiebstahl. Die Fernwartung ist unterbrochen; ob Ihre Systeme betroffen sind, ist noch unklar. Wer bestätigt die Meldung über einen bekannten Kanal? Wer entscheidet mit IT über Zugänge und Ersatzbetrieb? Wann und über welchen Weg kommt das nächste Update?</w:t>
      </w:r>
    </w:p>
    <w:p>
      <w:r>
        <w:t>Beobachtete Lücke / Maßnahme / zuständig / Termin: __________________________</w:t>
        <w:br/>
        <w:t>______________________________________________________________________</w:t>
      </w:r>
    </w:p>
    <w:p>
      <w:pPr>
        <w:pStyle w:val="Heading2"/>
      </w:pPr>
      <w:r>
        <w:t>Nutzung und Quellen</w:t>
      </w:r>
    </w:p>
    <w:p>
      <w:r>
        <w:t>Eigene Vorlagen der Paragamix GmbH. Kostenlos intern nutzen, anpassen und an Kunden weitergeben; Quellenlink willkommen, aber nicht erforderlich. Vor Nutzung intern prüfen. Keine vollständige Lieferantenprüfung oder Konformitätsbestätigung.</w:t>
      </w:r>
    </w:p>
    <w:p>
      <w:hyperlink r:id="rId10">
        <w:r>
          <w:rPr>
            <w:color w:val="243D32"/>
            <w:u w:val="single"/>
          </w:rPr>
          <w:t>NCSC Supply chain security</w:t>
        </w:r>
      </w:hyperlink>
      <w:r>
        <w:t xml:space="preserve"> | </w:t>
      </w:r>
      <w:hyperlink r:id="rId11">
        <w:r>
          <w:rPr>
            <w:color w:val="243D32"/>
            <w:u w:val="single"/>
          </w:rPr>
          <w:t>BSI Anforderungen an Lieferanten (DE)</w:t>
        </w:r>
      </w:hyperlink>
    </w:p>
    <w:p>
      <w:hyperlink r:id="rId12">
        <w:r>
          <w:rPr>
            <w:color w:val="243D32"/>
            <w:u w:val="single"/>
          </w:rPr>
          <w:t>Aktuelle Fassung</w:t>
        </w:r>
      </w:hyperlink>
    </w:p>
    <w:sectPr w:rsidR="00FC693F" w:rsidRPr="0006063C" w:rsidSect="00034616">
      <w:footerReference w:type="default" r:id="rId9"/>
      <w:pgSz w:w="11906" w:h="16838"/>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pPr>
    <w:r>
      <w:rPr>
        <w:sz w:val="16"/>
      </w:rPr>
      <w:t xml:space="preserve">Paragamix GmbH  |  v1.0  |  12.09.2026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9" w:lineRule="auto"/>
    </w:pPr>
    <w:rPr>
      <w:rFonts w:ascii="Arial" w:hAnsi="Arial"/>
      <w:color w:val="000000"/>
      <w:sz w:val="20"/>
      <w:lang w:val="de-D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40" w:line="269" w:lineRule="auto"/>
      <w:outlineLvl w:val="0"/>
    </w:pPr>
    <w:rPr>
      <w:rFonts w:asciiTheme="majorHAnsi" w:eastAsiaTheme="majorEastAsia" w:hAnsiTheme="majorHAnsi" w:cstheme="majorBidi" w:ascii="Arial" w:hAnsi="Arial"/>
      <w:b/>
      <w:bCs/>
      <w:color w:val="000000"/>
      <w:sz w:val="34"/>
      <w:szCs w:val="28"/>
    </w:rPr>
  </w:style>
  <w:style w:type="paragraph" w:styleId="Heading2">
    <w:name w:val="heading 2"/>
    <w:basedOn w:val="Normal"/>
    <w:next w:val="Normal"/>
    <w:link w:val="Heading2Char"/>
    <w:uiPriority w:val="9"/>
    <w:unhideWhenUsed/>
    <w:qFormat/>
    <w:rsid w:val="00FC693F"/>
    <w:pPr>
      <w:keepNext/>
      <w:keepLines/>
      <w:spacing w:before="200" w:after="140" w:line="269" w:lineRule="auto"/>
      <w:outlineLvl w:val="1"/>
    </w:pPr>
    <w:rPr>
      <w:rFonts w:asciiTheme="majorHAnsi" w:eastAsiaTheme="majorEastAsia" w:hAnsiTheme="majorHAnsi" w:cstheme="majorBidi" w:ascii="Arial" w:hAnsi="Arial"/>
      <w:b/>
      <w:bCs/>
      <w:color w:val="00000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40" w:line="269"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www.ncsc.gov.uk/collection/supply-chain-security/principles-supply-chain-security" TargetMode="External"/><Relationship Id="rId11" Type="http://schemas.openxmlformats.org/officeDocument/2006/relationships/hyperlink" Target="https://www.bsi.bund.de/SharedDocs/Downloads/DE/BSI/KRITIS/UPK/upk-anforderungen-lieferanten.pdf?__blob=publicationFile&amp;v=14" TargetMode="External"/><Relationship Id="rId12" Type="http://schemas.openxmlformats.org/officeDocument/2006/relationships/hyperlink" Target="https://www.paragamix.com/lieferkettensicherheit-praxispak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Dienstleister sicher einbinden</dc:title>
  <dc:subject>Supplier security templates</dc:subject>
  <dc:creator>Paragamix GmbH</dc:creator>
  <cp:keywords/>
  <dc:description/>
  <cp:lastModifiedBy/>
  <cp:revision>1</cp:revision>
  <dcterms:created xsi:type="dcterms:W3CDTF">2013-12-23T23:15:00Z</dcterms:created>
  <dcterms:modified xsi:type="dcterms:W3CDTF">2013-12-23T23:15:00Z</dcterms:modified>
  <cp:category/>
</cp:coreProperties>
</file>