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Fournisseurs et dépendances</w:t>
      </w:r>
    </w:p>
    <w:p>
      <w:r>
        <w:t>Modèles pour les achats, l’informatique et les responsables métier. Commencez par un fournisseur important, examinez ses accès et convenez des signalements. Vérifiez ensemble les informations ; remplir une fiche ne vaut pas autorisation.</w:t>
      </w:r>
    </w:p>
    <w:p>
      <w:r>
        <w:t>Organisation / responsable / date : _______________________________________</w:t>
      </w:r>
    </w:p>
    <w:tbl>
      <w:tblPr>
        <w:tblW w:type="auto" w:w="0"/>
        <w:jc w:val="center"/>
        <w:tblLayout w:type="fixed"/>
        <w:tblLook w:firstColumn="1" w:firstRow="1" w:lastColumn="0" w:lastRow="0" w:noHBand="0" w:noVBand="1" w:val="04A0"/>
      </w:tblPr>
      <w:tblGrid>
        <w:gridCol w:w="3515"/>
        <w:gridCol w:w="6350"/>
      </w:tblGrid>
      <w:tr>
        <w:trPr>
          <w:cantSplit/>
          <w:tblHeader/>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Point à examiner</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Informations ou référence protégée</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Fournisseur et prestation précise</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Responsable interne et suppléant</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Activité métier concernée</w:t>
              <w:br/>
              <w:t>Effet d’une panne ou d’une perte de données</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Accès aux données et systèmes</w:t>
              <w:br/>
              <w:t>Catégories ou références internes uniquement</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Sous-traitants importants</w:t>
              <w:br/>
              <w:t>S’ils concernent cette prestation</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Secours et possibilité de remplacement</w:t>
              <w:br/>
              <w:t>Qu’est-ce qui est testé ou seulement prévu ?</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bl>
    <w:p>
      <w:pPr>
        <w:spacing w:after="40"/>
      </w:pPr>
    </w:p>
    <w:p>
      <w:pPr>
        <w:pStyle w:val="Heading2"/>
      </w:pPr>
      <w:r>
        <w:t>Définir le périmètre de l’examen</w:t>
      </w:r>
    </w:p>
    <w:p>
      <w:r>
        <w:t>Priorité et justification : ________________________________________________</w:t>
        <w:br/>
        <w:t>Preuves de sécurité requises / périmètre / date de revue : ____________________</w:t>
        <w:br/>
        <w:t>________________________________________________________________________</w:t>
        <w:br/>
        <w:t>Points ouverts / responsable / échéance : __________________________________</w:t>
      </w:r>
    </w:p>
    <w:p>
      <w:r>
        <w:t>Fondez l’examen sur la prestation, les données et les impacts possibles. Un certificat ne prouve pas à lui seul que le service précis répond à toutes les exigences. N’inscrivez ni identifiants secrets ni données clients complètes dans ce modèle.</w:t>
      </w:r>
    </w:p>
    <w:p>
      <w:r>
        <w:br w:type="page"/>
      </w:r>
    </w:p>
    <w:p>
      <w:pPr>
        <w:pStyle w:val="Title"/>
      </w:pPr>
      <w:r>
        <w:t>Examiner et retirer les accès fournisseurs</w:t>
      </w:r>
    </w:p>
    <w:p>
      <w:r>
        <w:t>L’informatique et le responsable métier examinent les accès avant leur ouverture, lors des changements et à la date convenue. Attribuez explicitement la révocation en fin de contrat.</w:t>
      </w:r>
    </w:p>
    <w:p>
      <w:r>
        <w:t>Fournisseur / responsable de validation : __________________________________</w:t>
      </w:r>
    </w:p>
    <w:tbl>
      <w:tblPr>
        <w:tblW w:type="auto" w:w="0"/>
        <w:jc w:val="center"/>
        <w:tblLayout w:type="fixed"/>
        <w:tblLook w:firstColumn="1" w:firstRow="1" w:lastColumn="0" w:lastRow="0" w:noHBand="0" w:noVBand="1" w:val="04A0"/>
      </w:tblPr>
      <w:tblGrid>
        <w:gridCol w:w="2721"/>
        <w:gridCol w:w="4195"/>
        <w:gridCol w:w="2948"/>
      </w:tblGrid>
      <w:tr>
        <w:trPr>
          <w:cantSplit/>
          <w:tblHeader/>
        </w:trPr>
        <w:tc>
          <w:tcPr>
            <w:tcW w:type="dxa" w:w="272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Compte ou système</w:t>
            </w:r>
          </w:p>
        </w:tc>
        <w:tc>
          <w:tcPr>
            <w:tcW w:type="dxa" w:w="419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Finalité et droits nécessaires</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Responsable et date de fin</w:t>
            </w:r>
          </w:p>
        </w:tc>
      </w:tr>
      <w:tr>
        <w:trPr>
          <w:cantSplit/>
        </w:trPr>
        <w:tc>
          <w:tcPr>
            <w:tcW w:type="dxa" w:w="272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419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w:t>
              <w:br/>
              <w:t>______________________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272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419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w:t>
              <w:br/>
              <w:t>______________________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272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419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w:t>
              <w:br/>
              <w:t>______________________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bl>
    <w:p>
      <w:pPr>
        <w:spacing w:after="40"/>
      </w:pPr>
    </w:p>
    <w:p>
      <w:pPr>
        <w:pStyle w:val="Heading2"/>
      </w:pPr>
      <w:r>
        <w:t>Identité et mission</w:t>
      </w:r>
    </w:p>
    <w:p>
      <w:r>
        <w:t>Confirmez les demandes auprès d’un contact connu ; une urgence inhabituelle ne remplace pas l’examen.</w:t>
      </w:r>
    </w:p>
    <w:p>
      <w:pPr>
        <w:pStyle w:val="Heading2"/>
      </w:pPr>
      <w:r>
        <w:t>Droits et protection</w:t>
      </w:r>
    </w:p>
    <w:p>
      <w:r>
        <w:t>Convenez avec l’informatique des comptes nominatifs, droits nécessaires, MFA adaptée et accès distants autorisés. Justifiez les exceptions et limitez-les dans le temps.</w:t>
      </w:r>
    </w:p>
    <w:p>
      <w:pPr>
        <w:pStyle w:val="Heading2"/>
      </w:pPr>
      <w:r>
        <w:t>Responsabilités</w:t>
      </w:r>
    </w:p>
    <w:p>
      <w:r>
        <w:t>Attribuez la journalisation et les revues. N’échangez les secrets que par des procédures autorisées.</w:t>
      </w:r>
    </w:p>
    <w:p>
      <w:pPr>
        <w:pStyle w:val="Heading2"/>
      </w:pPr>
      <w:r>
        <w:t>Changements et sous-traitants</w:t>
      </w:r>
    </w:p>
    <w:p>
      <w:r>
        <w:t>Avant tout accès supplémentaire, examinez les nouvelles personnes, finalités ou autres fournisseurs. Actualisez la liste des données et systèmes concernés.</w:t>
      </w:r>
    </w:p>
    <w:p>
      <w:pPr>
        <w:pStyle w:val="Heading2"/>
      </w:pPr>
      <w:r>
        <w:t>Fin du contrat et transmission</w:t>
      </w:r>
    </w:p>
    <w:p>
      <w:r>
        <w:t>Révoquez les comptes et jetons, fermez les connexions et obtenez une preuve de restitution ou suppression des données convenue. Renouvelez les secrets partagés si nécessaire.</w:t>
      </w:r>
    </w:p>
    <w:p>
      <w:r>
        <w:t>Décision / conditions / prochaine revue : __________________________________</w:t>
        <w:br/>
        <w:t>Révocation effectuée par / date / preuve : __________________________________</w:t>
      </w:r>
    </w:p>
    <w:p>
      <w:r>
        <w:br w:type="page"/>
      </w:r>
    </w:p>
    <w:p>
      <w:pPr>
        <w:pStyle w:val="Title"/>
      </w:pPr>
      <w:r>
        <w:t>Signalements et exercice commun</w:t>
      </w:r>
    </w:p>
    <w:p>
      <w:r>
        <w:t>Convenez de contacts joignables et des responsabilités en cas d’incident chez un fournisseur. Protégez ces informations et rendez-les accessibles même si les systèmes habituels sont indisponibles.</w:t>
      </w:r>
    </w:p>
    <w:tbl>
      <w:tblPr>
        <w:tblW w:type="auto" w:w="0"/>
        <w:jc w:val="center"/>
        <w:tblLayout w:type="fixed"/>
        <w:tblLook w:firstColumn="1" w:firstRow="1" w:lastColumn="0" w:lastRow="0" w:noHBand="0" w:noVBand="1" w:val="04A0"/>
      </w:tblPr>
      <w:tblGrid>
        <w:gridCol w:w="3515"/>
        <w:gridCol w:w="6350"/>
      </w:tblGrid>
      <w:tr>
        <w:trPr>
          <w:cantSplit/>
          <w:tblHeader/>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Contact ou disposition</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Information vérifiée ou référence</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Coordinateur interne et suppléant</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Contact fournisseur et canal de secours</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Déclencheurs du signalement et délais convenus</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Prochain point de situation et canal</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bl>
    <w:p>
      <w:pPr>
        <w:spacing w:after="40"/>
      </w:pPr>
    </w:p>
    <w:p>
      <w:pPr>
        <w:pStyle w:val="Heading2"/>
      </w:pPr>
      <w:r>
        <w:t>Contenu du premier signalement</w:t>
      </w:r>
    </w:p>
    <w:p>
      <w:r>
        <w:t>Observation et heure avec fuseau, service touché, impact connu, actions effectuées et contact joignable. Identifiez les hypothèses et complétez les informations manquantes. L’informatique coordonne les actions nécessaires. Les spécialistes compétents évaluent séparément les obligations légales ou contractuelles de notification.</w:t>
      </w:r>
    </w:p>
    <w:p>
      <w:pPr>
        <w:pStyle w:val="Heading2"/>
      </w:pPr>
      <w:r>
        <w:t>Cas pratique fictif</w:t>
      </w:r>
    </w:p>
    <w:p>
      <w:r>
        <w:t>Votre prestataire informatique signale une possible compromission de compte. L’assistance à distance est interrompue ; l’impact sur vos systèmes reste incertain. Qui vérifie le signalement par un canal connu ? Qui décide avec l’informatique des accès et du mode dégradé ? Quand et comment recevrez-vous le prochain point ?</w:t>
      </w:r>
    </w:p>
    <w:p>
      <w:r>
        <w:t>Lacune / action / responsable / échéance : _________________________________</w:t>
        <w:br/>
        <w:t>________________________________________________________________________</w:t>
      </w:r>
    </w:p>
    <w:p>
      <w:pPr>
        <w:pStyle w:val="Heading2"/>
      </w:pPr>
      <w:r>
        <w:t>Utilisation et sources</w:t>
      </w:r>
    </w:p>
    <w:p>
      <w:r>
        <w:t>Modèles originaux de Paragamix GmbH. Utilisation interne, adaptation et partage avec les clients gratuits ; un lien vers la source est apprécié, sans être obligatoire. À vérifier en interne avant utilisation. Ni évaluation complète des fournisseurs ni attestation de conformité.</w:t>
      </w:r>
    </w:p>
    <w:p>
      <w:hyperlink r:id="rId10">
        <w:r>
          <w:rPr>
            <w:color w:val="243D32"/>
            <w:u w:val="single"/>
          </w:rPr>
          <w:t>NCSC sur la chaîne d’approvisionnement (anglais)</w:t>
        </w:r>
      </w:hyperlink>
      <w:r>
        <w:t xml:space="preserve"> | </w:t>
      </w:r>
      <w:hyperlink r:id="rId11">
        <w:r>
          <w:rPr>
            <w:color w:val="243D32"/>
            <w:u w:val="single"/>
          </w:rPr>
          <w:t>BSI sur les fournisseurs (allemand)</w:t>
        </w:r>
      </w:hyperlink>
    </w:p>
    <w:p>
      <w:hyperlink r:id="rId12">
        <w:r>
          <w:rPr>
            <w:color w:val="243D32"/>
            <w:u w:val="single"/>
          </w:rPr>
          <w:t>Version actuelle</w:t>
        </w:r>
      </w:hyperlink>
    </w:p>
    <w:sectPr w:rsidR="00FC693F" w:rsidRPr="0006063C" w:rsidSect="00034616">
      <w:footerReference w:type="default" r:id="rId9"/>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pPr>
    <w:r>
      <w:rPr>
        <w:sz w:val="16"/>
      </w:rPr>
      <w:t xml:space="preserve">Paragamix GmbH | Édition française 1.0 | 20.10.2026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csc.gov.uk/collection/supply-chain-security/principles-supply-chain-security" TargetMode="External"/><Relationship Id="rId11" Type="http://schemas.openxmlformats.org/officeDocument/2006/relationships/hyperlink" Target="https://www.bsi.bund.de/SharedDocs/Downloads/DE/BSI/KRITIS/UPK/upk-anforderungen-lieferanten.pdf?__blob=publicationFile&amp;v=14" TargetMode="External"/><Relationship Id="rId12" Type="http://schemas.openxmlformats.org/officeDocument/2006/relationships/hyperlink" Target="https://www.paragamix.com/fr/supply-chain-security-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Fournisseurs et dépendances</dc:title>
  <dc:subject>Fournisseurs et dépendances</dc:subject>
  <dc:creator>Paragamix GmbH</dc:creator>
  <cp:keywords/>
  <dc:description>Modèles pour les achats, l’informatique et les responsables métier. Commencez par un fournisseur important, examinez ses accès et convenez des signalements. Vérifiez ensemble les informations ; remplir une fiche ne vaut pas autorisation.</dc:description>
  <cp:lastModifiedBy/>
  <cp:revision>1</cp:revision>
  <dcterms:created xsi:type="dcterms:W3CDTF">2013-12-23T23:15:00Z</dcterms:created>
  <dcterms:modified xsi:type="dcterms:W3CDTF">2013-12-23T23:15:00Z</dcterms:modified>
  <cp:category/>
  <dc:language>fr-FR</dc:language>
</cp:coreProperties>
</file>