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Suppliers and dependencies</w:t>
      </w:r>
    </w:p>
    <w:p>
      <w:r>
        <w:t>Templates for procurement, IT and business owners. Start with one important supplier, review their access and agree reporting routes. Verify the details together; a completed worksheet does not grant approval.</w:t>
      </w:r>
    </w:p>
    <w:p>
      <w:r>
        <w:t>Organisation / owner / date: 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15"/>
        <w:gridCol w:w="6350"/>
      </w:tblGrid>
      <w:tr>
        <w:trPr>
          <w:cantSplit/>
          <w:tblHeader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Review area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Details or restricted reference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Supplier and specific service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Internal owner and deputy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Affected business activity</w:t>
              <w:br/>
              <w:t>Impact of outage or data loss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Data and system access</w:t>
              <w:br/>
              <w:t>Categories or internal references only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Important subcontractors</w:t>
              <w:br/>
              <w:t>Where relevant to this service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Fallback and ability to switch</w:t>
              <w:br/>
              <w:t>What is tested and what is only planned?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Set the review scope</w:t>
      </w:r>
    </w:p>
    <w:p>
      <w:r>
        <w:t>Priority and reason: ____________________________________________________</w:t>
        <w:br/>
        <w:t>Required security evidence / scope / reviewed on: ___________________________</w:t>
        <w:br/>
        <w:t>______________________________________________________________________</w:t>
        <w:br/>
        <w:t>Open issues / owner / due date: ___________________________________________</w:t>
      </w:r>
    </w:p>
    <w:p>
      <w:r>
        <w:t>Base the review on the service, data and possible impact. A certificate alone does not establish that the specific service meets every requirement. Do not record credentials or full customer data in this template.</w:t>
      </w:r>
    </w:p>
    <w:p>
      <w:r>
        <w:br w:type="page"/>
      </w:r>
    </w:p>
    <w:p>
      <w:pPr>
        <w:pStyle w:val="Title"/>
      </w:pPr>
      <w:r>
        <w:t>Review and end supplier access</w:t>
      </w:r>
    </w:p>
    <w:p>
      <w:r>
        <w:t>IT and the business owner review access before it starts, when it changes and at the agreed review date. Explicitly assign responsibility for revocation at contract end.</w:t>
      </w:r>
    </w:p>
    <w:p>
      <w:r>
        <w:t>Supplier / approval owner: 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21"/>
        <w:gridCol w:w="4195"/>
        <w:gridCol w:w="2948"/>
      </w:tblGrid>
      <w:tr>
        <w:trPr>
          <w:cantSplit/>
          <w:tblHeader/>
        </w:trPr>
        <w:tc>
          <w:tcPr>
            <w:tcW w:type="dxa" w:w="272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Account or system</w:t>
            </w:r>
          </w:p>
        </w:tc>
        <w:tc>
          <w:tcPr>
            <w:tcW w:type="dxa" w:w="419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Purpose and required permissions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Owner and end date</w:t>
            </w:r>
          </w:p>
        </w:tc>
      </w:tr>
      <w:tr>
        <w:trPr>
          <w:cantSplit/>
        </w:trPr>
        <w:tc>
          <w:tcPr>
            <w:tcW w:type="dxa" w:w="272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19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</w:t>
              <w:br/>
              <w:t>______________________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72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19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</w:t>
              <w:br/>
              <w:t>______________________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72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19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</w:t>
              <w:br/>
              <w:t>______________________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Identity and assignment</w:t>
      </w:r>
    </w:p>
    <w:p>
      <w:r>
        <w:t>Confirm requests through a known contact; unusual urgency does not replace review.</w:t>
      </w:r>
    </w:p>
    <w:p>
      <w:pPr>
        <w:pStyle w:val="Heading2"/>
      </w:pPr>
      <w:r>
        <w:t>Permissions and protection</w:t>
      </w:r>
    </w:p>
    <w:p>
      <w:r>
        <w:t>Agree named accounts, necessary permissions, suitable MFA and approved remote access with IT. Justify and time-limit exceptions.</w:t>
      </w:r>
    </w:p>
    <w:p>
      <w:pPr>
        <w:pStyle w:val="Heading2"/>
      </w:pPr>
      <w:r>
        <w:t>Accountability</w:t>
      </w:r>
    </w:p>
    <w:p>
      <w:r>
        <w:t>Assign logging and review responsibilities. Exchange secrets only through approved procedures.</w:t>
      </w:r>
    </w:p>
    <w:p>
      <w:pPr>
        <w:pStyle w:val="Heading2"/>
      </w:pPr>
      <w:r>
        <w:t>Changes and subcontractors</w:t>
      </w:r>
    </w:p>
    <w:p>
      <w:r>
        <w:t>Review new people, purposes or additional suppliers before granting extra access. Update the affected data and systems.</w:t>
      </w:r>
    </w:p>
    <w:p>
      <w:pPr>
        <w:pStyle w:val="Heading2"/>
      </w:pPr>
      <w:r>
        <w:t>Contract end and handover</w:t>
      </w:r>
    </w:p>
    <w:p>
      <w:r>
        <w:t>Revoke accounts and tokens, close connections and obtain evidence of agreed data return or deletion. Rotate shared secrets where needed.</w:t>
      </w:r>
    </w:p>
    <w:p>
      <w:r>
        <w:t>Decision / conditions / next review: ________________________________________</w:t>
        <w:br/>
        <w:t>Revocation completed by / date / evidence: __________________________________</w:t>
      </w:r>
    </w:p>
    <w:p>
      <w:r>
        <w:br w:type="page"/>
      </w:r>
    </w:p>
    <w:p>
      <w:pPr>
        <w:pStyle w:val="Title"/>
      </w:pPr>
      <w:r>
        <w:t>Reporting routes and a joint rehearsal</w:t>
      </w:r>
    </w:p>
    <w:p>
      <w:r>
        <w:t>Agree reachable contacts and responsibilities for an incident at a supplier. Keep these details protected and accessible if normal systems are unavailable.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15"/>
        <w:gridCol w:w="6350"/>
      </w:tblGrid>
      <w:tr>
        <w:trPr>
          <w:cantSplit/>
          <w:tblHeader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Contact or arrangement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Verified detail or reference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Internal coordinator and deputy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Supplier contact and fallback channel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Reporting triggers and agreed response times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1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Next status update and communication route</w:t>
            </w:r>
          </w:p>
        </w:tc>
        <w:tc>
          <w:tcPr>
            <w:tcW w:type="dxa" w:w="635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What the first report should contain</w:t>
      </w:r>
    </w:p>
    <w:p>
      <w:r>
        <w:t>Observation and time with timezone, affected service, known impact, actions taken and a reachable contact. Label assumptions and follow up missing details. IT coordinates necessary action. Responsible specialists separately assess legal or contractual reporting duties.</w:t>
      </w:r>
    </w:p>
    <w:p>
      <w:pPr>
        <w:pStyle w:val="Heading2"/>
      </w:pPr>
      <w:r>
        <w:t>Fictional practice case</w:t>
      </w:r>
    </w:p>
    <w:p>
      <w:r>
        <w:t>Your IT provider reports a possible account compromise. Remote support is interrupted; the impact on your systems is still unclear. Who verifies the report through a known channel? Who decides with IT about access and fallback operations? When and how will the next update arrive?</w:t>
      </w:r>
    </w:p>
    <w:p>
      <w:r>
        <w:t>Observed gap / action / owner / due date: ___________________________________</w:t>
        <w:br/>
        <w:t>______________________________________________________________________</w:t>
      </w:r>
    </w:p>
    <w:p>
      <w:pPr>
        <w:pStyle w:val="Heading2"/>
      </w:pPr>
      <w:r>
        <w:t>Use and sources</w:t>
      </w:r>
    </w:p>
    <w:p>
      <w:r>
        <w:t>Original Paragamix GmbH templates. Free to use internally, adapt and share with clients; a source link is welcome but not required. Review internally before use. Not a complete supplier assessment or confirmation of compliance.</w:t>
      </w:r>
    </w:p>
    <w:p>
      <w:hyperlink r:id="rId10">
        <w:r>
          <w:rPr>
            <w:color w:val="243D32"/>
            <w:u w:val="single"/>
          </w:rPr>
          <w:t>NCSC Supply chain security</w:t>
        </w:r>
      </w:hyperlink>
      <w:r>
        <w:t xml:space="preserve"> | </w:t>
      </w:r>
      <w:hyperlink r:id="rId11">
        <w:r>
          <w:rPr>
            <w:color w:val="243D32"/>
            <w:u w:val="single"/>
          </w:rPr>
          <w:t>BSI Anforderungen an Lieferanten (DE)</w:t>
        </w:r>
      </w:hyperlink>
    </w:p>
    <w:p>
      <w:hyperlink r:id="rId12">
        <w:r>
          <w:rPr>
            <w:color w:val="243D32"/>
            <w:u w:val="single"/>
          </w:rPr>
          <w:t>Current version</w:t>
        </w:r>
      </w:hyperlink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www.ncsc.gov.uk/collection/supply-chain-security/principles-supply-chain-security" TargetMode="External"/><Relationship Id="rId11" Type="http://schemas.openxmlformats.org/officeDocument/2006/relationships/hyperlink" Target="https://www.bsi.bund.de/SharedDocs/Downloads/DE/BSI/KRITIS/UPK/upk-anforderungen-lieferanten.pdf?__blob=publicationFile&amp;v=14" TargetMode="External"/><Relationship Id="rId12" Type="http://schemas.openxmlformats.org/officeDocument/2006/relationships/hyperlink" Target="https://www.paragamix.com/supply-chain-security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securely with suppliers</dc:title>
  <dc:subject>Supplier security templates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