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Exemple de préparation à la continuité</w:t>
      </w:r>
    </w:p>
    <w:p>
      <w:r>
        <w:t>Exemple fictif pour vous guider. Northlight Office Supplies est une entreprise inventée de 35 salariés sur un seul site. Les rôles et hypothèses servent uniquement à l’exercice ; aucune coordonnée réelle n’est fournie.</w:t>
      </w:r>
    </w:p>
    <w:p>
      <w:pPr>
        <w:pStyle w:val="Heading2"/>
      </w:pPr>
      <w:r>
        <w:t>Situation et communication</w:t>
      </w:r>
    </w:p>
    <w:p>
      <w:r>
        <w:t>L’entreprise traite ses commandes dans un progiciel de gestion. Une panne électrique touche ce logiciel, les téléphones fixes et les équipements d’emballage électriques. Une solution papier sûre existe uniquement pour la prise de commandes ; le personnel n’improvise pas la poursuite du fonctionnement des machines.</w:t>
      </w:r>
    </w:p>
    <w:tbl>
      <w:tblPr>
        <w:tblW w:type="auto" w:w="0"/>
        <w:jc w:val="center"/>
        <w:tblLayout w:type="fixed"/>
        <w:tblLook w:firstColumn="1" w:firstRow="1" w:lastColumn="0" w:lastRow="0" w:noHBand="0" w:noVBand="1" w:val="04A0"/>
      </w:tblPr>
      <w:tblGrid>
        <w:gridCol w:w="2438"/>
        <w:gridCol w:w="7427"/>
      </w:tblGrid>
      <w:tr>
        <w:trPr>
          <w:cantSplit/>
          <w:tblHeader/>
        </w:trPr>
        <w:tc>
          <w:tcPr>
            <w:tcW w:type="dxa" w:w="243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Rôle</w:t>
            </w:r>
          </w:p>
        </w:tc>
        <w:tc>
          <w:tcPr>
            <w:tcW w:type="dxa" w:w="74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Exemple de décision</w:t>
            </w:r>
          </w:p>
        </w:tc>
      </w:tr>
      <w:tr>
        <w:trPr>
          <w:cantSplit/>
        </w:trPr>
        <w:tc>
          <w:tcPr>
            <w:tcW w:type="dxa" w:w="243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Coordination</w:t>
            </w:r>
          </w:p>
        </w:tc>
        <w:tc>
          <w:tcPr>
            <w:tcW w:type="dxa" w:w="74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Responsable des opérations ; suppléant : responsable de l’équipe de prise de commandes.</w:t>
            </w:r>
          </w:p>
        </w:tc>
      </w:tr>
      <w:tr>
        <w:trPr>
          <w:cantSplit/>
        </w:trPr>
        <w:tc>
          <w:tcPr>
            <w:tcW w:type="dxa" w:w="243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Informatique et locaux</w:t>
            </w:r>
          </w:p>
        </w:tc>
        <w:tc>
          <w:tcPr>
            <w:tcW w:type="dxa" w:w="74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Le prestataire informatique vérifie les dépendances ; les services généraux évaluent la situation avec des spécialistes habilités.</w:t>
            </w:r>
          </w:p>
        </w:tc>
      </w:tr>
      <w:tr>
        <w:trPr>
          <w:cantSplit/>
        </w:trPr>
        <w:tc>
          <w:tcPr>
            <w:tcW w:type="dxa" w:w="243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Contact de secours</w:t>
            </w:r>
          </w:p>
        </w:tc>
        <w:tc>
          <w:tcPr>
            <w:tcW w:type="dxa" w:w="74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Numéros mobiles professionnels vérifiés au préalable, dans une liste à accès restreint. Aucun numéro réel dans cet exemple.</w:t>
            </w:r>
          </w:p>
        </w:tc>
      </w:tr>
      <w:tr>
        <w:trPr>
          <w:cantSplit/>
        </w:trPr>
        <w:tc>
          <w:tcPr>
            <w:tcW w:type="dxa" w:w="243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Dossier hors ligne et solution de secours</w:t>
            </w:r>
          </w:p>
        </w:tc>
        <w:tc>
          <w:tcPr>
            <w:tcW w:type="dxa" w:w="74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Liste de contacts imprimée dans le dossier de continuité à l’accueil et copie chiffrée hors ligne chez le responsable. Si les communications mobiles échouent, utiliser le point de rencontre sûr convenu pour le site.</w:t>
            </w:r>
          </w:p>
        </w:tc>
      </w:tr>
    </w:tbl>
    <w:p>
      <w:pPr>
        <w:spacing w:after="40"/>
      </w:pPr>
    </w:p>
    <w:p>
      <w:pPr>
        <w:pStyle w:val="Heading2"/>
      </w:pPr>
      <w:r>
        <w:t>Exemple d’activité critique</w:t>
      </w:r>
    </w:p>
    <w:p>
      <w:r>
        <w:t>Prise de commandes : l’hypothèse fictive est qu’un retard important se forme après quatre heures. Reprendre sous deux heures reste un objectif à tester, pas une capacité prouvée. Dépendances : logiciel de gestion, électricité, réseau, deux personnes formées et formulaires papier autorisés.</w:t>
      </w:r>
    </w:p>
    <w:p>
      <w:r>
        <w:t>Mode dégradé : le responsable autorise la prise de commandes papier numérotées, sans promettre de date de livraison. Protéger les documents. Après validation technique, le chef d’équipe teste une commande puis rapproche une seule fois les fiches papier et le logiciel. L’expédition ne reprend qu’après autorisation distincte des responsables.</w:t>
      </w:r>
    </w:p>
    <w:p>
      <w:r>
        <w:br w:type="page"/>
      </w:r>
    </w:p>
    <w:p>
      <w:pPr>
        <w:pStyle w:val="Title"/>
      </w:pPr>
      <w:r>
        <w:t>Constats et améliorations de l’exercice</w:t>
      </w:r>
    </w:p>
    <w:p>
      <w:r>
        <w:t>Résultats fictifs d’un exercice de discussion de 30 minutes. Ils ne prouvent la préparation d’aucune organisation réelle.</w:t>
      </w:r>
    </w:p>
    <w:tbl>
      <w:tblPr>
        <w:tblW w:type="auto" w:w="0"/>
        <w:jc w:val="center"/>
        <w:tblLayout w:type="fixed"/>
        <w:tblLook w:firstColumn="1" w:firstRow="1" w:lastColumn="0" w:lastRow="0" w:noHBand="0" w:noVBand="1" w:val="04A0"/>
      </w:tblPr>
      <w:tblGrid>
        <w:gridCol w:w="2891"/>
        <w:gridCol w:w="3515"/>
        <w:gridCol w:w="3458"/>
      </w:tblGrid>
      <w:tr>
        <w:trPr>
          <w:cantSplit/>
          <w:tblHeader/>
        </w:trPr>
        <w:tc>
          <w:tcPr>
            <w:tcW w:type="dxa" w:w="289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Lacune observée</w:t>
            </w:r>
          </w:p>
        </w:tc>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Action et responsable</w:t>
            </w:r>
          </w:p>
        </w:tc>
        <w:tc>
          <w:tcPr>
            <w:tcW w:type="dxa" w:w="345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60" w:before="60"/>
            </w:pPr>
            <w:r>
              <w:rPr>
                <w:b/>
                <w:sz w:val="18"/>
              </w:rPr>
              <w:t>Échéance et preuve</w:t>
            </w:r>
          </w:p>
        </w:tc>
      </w:tr>
      <w:tr>
        <w:trPr>
          <w:cantSplit/>
        </w:trPr>
        <w:tc>
          <w:tcPr>
            <w:tcW w:type="dxa" w:w="289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Le suppléant ignore l’emplacement du dossier hors ligne.</w:t>
            </w:r>
          </w:p>
        </w:tc>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Le responsable des opérations informe le suppléant et vérifie l’accès.</w:t>
            </w:r>
          </w:p>
        </w:tc>
        <w:tc>
          <w:tcPr>
            <w:tcW w:type="dxa" w:w="345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Sous 7 jours ; test consigné sans accès réseau.</w:t>
            </w:r>
          </w:p>
        </w:tc>
      </w:tr>
      <w:tr>
        <w:trPr>
          <w:cantSplit/>
        </w:trPr>
        <w:tc>
          <w:tcPr>
            <w:tcW w:type="dxa" w:w="289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Les commandes papier n’ont pas de numérotation unique.</w:t>
            </w:r>
          </w:p>
        </w:tc>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Le responsable des commandes ajoute un numéro et un champ de rapprochement.</w:t>
            </w:r>
          </w:p>
        </w:tc>
        <w:tc>
          <w:tcPr>
            <w:tcW w:type="dxa" w:w="345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Sous 14 jours ; rapprocher cinq commandes fictives dans un test sans doublons.</w:t>
            </w:r>
          </w:p>
        </w:tc>
      </w:tr>
      <w:tr>
        <w:trPr>
          <w:cantSplit/>
        </w:trPr>
        <w:tc>
          <w:tcPr>
            <w:tcW w:type="dxa" w:w="289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L’objectif de reprise n’a pas été testé en pratique.</w:t>
            </w:r>
          </w:p>
        </w:tc>
        <w:tc>
          <w:tcPr>
            <w:tcW w:type="dxa" w:w="3515"/>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L’informatique et les opérations préparent un test de reprise autorisé.</w:t>
            </w:r>
          </w:p>
        </w:tc>
        <w:tc>
          <w:tcPr>
            <w:tcW w:type="dxa" w:w="345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sz w:val="18"/>
              </w:rPr>
              <w:t>Sous 30 jours ; consigner la procédure, la durée, les écarts et les suites.</w:t>
            </w:r>
          </w:p>
        </w:tc>
      </w:tr>
    </w:tbl>
    <w:p>
      <w:pPr>
        <w:spacing w:after="40"/>
      </w:pPr>
    </w:p>
    <w:p>
      <w:pPr>
        <w:pStyle w:val="Heading2"/>
      </w:pPr>
      <w:r>
        <w:t>Utiliser cet exemple</w:t>
      </w:r>
    </w:p>
    <w:p>
      <w:r>
        <w:t>Reprenez la structure, pas les délais ni les procédures. Renseignez les responsabilités réelles dans les fiches vierges et vérifiez leur faisabilité. Ici, le responsable des opérations revoit les trois actions après 30 jours ; le prochain exercice est réévalué après un changement de personnel, de site ou d’informatique.</w:t>
      </w:r>
    </w:p>
    <w:p>
      <w:pPr>
        <w:pStyle w:val="Heading2"/>
      </w:pPr>
      <w:r>
        <w:t>Utilisation et sources</w:t>
      </w:r>
    </w:p>
    <w:p>
      <w:r>
        <w:t>Ces modèles originaux de Paragamix GmbH peuvent être utilisés en interne, adaptés et partagés gratuitement avec les clients. Un lien vers la source est apprécié, sans être obligatoire. Les ressources externes conservent leurs propres conditions.</w:t>
      </w:r>
    </w:p>
    <w:p>
      <w:hyperlink r:id="rId10">
        <w:r>
          <w:rPr>
            <w:color w:val="243D32"/>
            <w:u w:val="single"/>
          </w:rPr>
          <w:t>BSI sur l’organisation face aux incidents (allemand)</w:t>
        </w:r>
      </w:hyperlink>
      <w:r>
        <w:t xml:space="preserve">  |  </w:t>
      </w:r>
      <w:hyperlink r:id="rId11">
        <w:r>
          <w:rPr>
            <w:color w:val="243D32"/>
            <w:u w:val="single"/>
          </w:rPr>
          <w:t>CISA sur les exercices sur table (anglais)</w:t>
        </w:r>
      </w:hyperlink>
    </w:p>
    <w:p>
      <w:hyperlink r:id="rId12">
        <w:r>
          <w:rPr>
            <w:color w:val="243D32"/>
            <w:u w:val="single"/>
          </w:rPr>
          <w:t>Version actuelle et sources</w:t>
        </w:r>
      </w:hyperlink>
    </w:p>
    <w:p>
      <w:r>
        <w:t>Point de départ pour la préparation organisationnelle. Ni plan de continuité complet, ni autorisation technique, ni certificat de conformité. Créé avec l’aide de l’IA ; aucune validation indépendante par un expert n’est revendiquée. Faites examiner et approuver ce kit par les responsables avant toute utilisation opérationnelle.</w:t>
      </w:r>
    </w:p>
    <w:sectPr w:rsidR="00FC693F" w:rsidRPr="0006063C" w:rsidSect="00034616">
      <w:footerReference w:type="default" r:id="rId9"/>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40"/>
    </w:pPr>
    <w:r>
      <w:rPr>
        <w:sz w:val="16"/>
      </w:rPr>
      <w:t xml:space="preserve">Paragamix GmbH | Édition française 1.0 | 20.10.2026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0"/>
      <w:lang w:val="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bsi.bund.de/DE/IT-Sicherheitsvorfall/Unternehmen/Ich-habe-einen-IT-Sicherheitsvorfall-Checkliste-Organisatorisches/ich-habe-einen-it-sicherheitsvorfall-checkliste-organisatorisches.html" TargetMode="External"/><Relationship Id="rId11" Type="http://schemas.openxmlformats.org/officeDocument/2006/relationships/hyperlink" Target="https://www.cisa.gov/resources-tools/resources/ctep-package-documents" TargetMode="External"/><Relationship Id="rId12" Type="http://schemas.openxmlformats.org/officeDocument/2006/relationships/hyperlink" Target="https://www.paragamix.com/fr/business-continuity-too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Exemple de préparation à la continuité</dc:title>
  <dc:subject>Exemple de préparation à la continuité</dc:subject>
  <dc:creator>Paragamix GmbH</dc:creator>
  <cp:keywords/>
  <dc:description>Exemple fictif pour vous guider. Northlight Office Supplies est une entreprise inventée de 35 salariés sur un seul site. Les rôles et hypothèses servent uniquement à l’exercice ; aucune coordonnée réelle n’est fournie.</dc:description>
  <cp:lastModifiedBy/>
  <cp:revision>1</cp:revision>
  <dcterms:created xsi:type="dcterms:W3CDTF">2013-12-23T23:15:00Z</dcterms:created>
  <dcterms:modified xsi:type="dcterms:W3CDTF">2013-12-23T23:15:00Z</dcterms:modified>
  <cp:category/>
  <dc:language>fr-FR</dc:language>
</cp:coreProperties>
</file>