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Ausgefülltes Beispiel zur Notfallvorsorge</w:t>
      </w:r>
    </w:p>
    <w:p>
      <w:r>
        <w:t>Fiktives Beispiel zur Orientierung. Nordlicht Bürotechnik ist ein erfundenes Unternehmen mit 35 Beschäftigten an einem Standort. Alle Rollen und Annahmen dienen ausschließlich der Übung; keine echten Kontaktangaben.</w:t>
      </w:r>
    </w:p>
    <w:p>
      <w:pPr>
        <w:pStyle w:val="Heading2"/>
      </w:pPr>
      <w:r>
        <w:t>Ausgangslage und Erreichbarkeit</w:t>
      </w:r>
    </w:p>
    <w:p>
      <w:r>
        <w:t>Das Unternehmen bearbeitet Kundenaufträge im ERP. Ein Stromausfall betrifft ERP, Festnetz und die elektrische Verpackungsanlage. Ein sicherer Papierersatz ist nur für die Auftragsannahme vorgesehen; Maschinen werden nicht improvisiert weiterbetrieben.</w:t>
      </w:r>
    </w:p>
    <w:tbl>
      <w:tblPr>
        <w:tblW w:type="auto" w:w="0"/>
        <w:jc w:val="center"/>
        <w:tblLayout w:type="fixed"/>
        <w:tblLook w:firstColumn="1" w:firstRow="1" w:lastColumn="0" w:lastRow="0" w:noHBand="0" w:noVBand="1" w:val="04A0"/>
      </w:tblPr>
      <w:tblGrid>
        <w:gridCol w:w="2438"/>
        <w:gridCol w:w="7427"/>
      </w:tblGrid>
      <w:tr>
        <w:trPr>
          <w:cantSplit/>
          <w:tblHeader/>
        </w:trPr>
        <w:tc>
          <w:tcPr>
            <w:tcW w:type="dxa" w:w="243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Rolle</w:t>
            </w:r>
          </w:p>
        </w:tc>
        <w:tc>
          <w:tcPr>
            <w:tcW w:type="dxa" w:w="7427"/>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Vereinbarung im Beispiel</w:t>
            </w:r>
          </w:p>
        </w:tc>
      </w:tr>
      <w:tr>
        <w:trPr>
          <w:cantSplit/>
        </w:trPr>
        <w:tc>
          <w:tcPr>
            <w:tcW w:type="dxa" w:w="243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Koordination</w:t>
            </w:r>
          </w:p>
        </w:tc>
        <w:tc>
          <w:tcPr>
            <w:tcW w:type="dxa" w:w="7427"/>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Betriebsleitung; Vertretung: Teamleitung Auftragsservice.</w:t>
            </w:r>
          </w:p>
        </w:tc>
      </w:tr>
      <w:tr>
        <w:trPr>
          <w:cantSplit/>
        </w:trPr>
        <w:tc>
          <w:tcPr>
            <w:tcW w:type="dxa" w:w="243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IT und Gebäude</w:t>
            </w:r>
          </w:p>
        </w:tc>
        <w:tc>
          <w:tcPr>
            <w:tcW w:type="dxa" w:w="7427"/>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IT-Dienstleister prüft IT-Abhängigkeiten; Gebäudeverantwortliche prüfen die Lage mit befugten Fachleuten.</w:t>
            </w:r>
          </w:p>
        </w:tc>
      </w:tr>
      <w:tr>
        <w:trPr>
          <w:cantSplit/>
        </w:trPr>
        <w:tc>
          <w:tcPr>
            <w:tcW w:type="dxa" w:w="243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Ersatzkontakt</w:t>
            </w:r>
          </w:p>
        </w:tc>
        <w:tc>
          <w:tcPr>
            <w:tcW w:type="dxa" w:w="7427"/>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Vorab geprüfte dienstliche Mobilnummern in geschützter Kontaktliste. Keine echten Nummern in diesem Beispiel.</w:t>
            </w:r>
          </w:p>
        </w:tc>
      </w:tr>
      <w:tr>
        <w:trPr>
          <w:cantSplit/>
        </w:trPr>
        <w:tc>
          <w:tcPr>
            <w:tcW w:type="dxa" w:w="243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Offline und Rückfallebene</w:t>
            </w:r>
          </w:p>
        </w:tc>
        <w:tc>
          <w:tcPr>
            <w:tcW w:type="dxa" w:w="7427"/>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Kontaktliste im Notfallordner am Empfang und verschlüsselte Offline-Kopie bei der Leitung. Bei Ausfall der Mobilkommunikation gilt der betrieblich festgelegte sichere Treffpunkt.</w:t>
            </w:r>
          </w:p>
        </w:tc>
      </w:tr>
    </w:tbl>
    <w:p>
      <w:pPr>
        <w:spacing w:after="40"/>
      </w:pPr>
    </w:p>
    <w:p>
      <w:pPr>
        <w:pStyle w:val="Heading2"/>
      </w:pPr>
      <w:r>
        <w:t>Kritischer Ablauf im Beispiel</w:t>
      </w:r>
    </w:p>
    <w:p>
      <w:r>
        <w:t>Auftragsannahme: Nach vier Stunden drohen laut fiktiver Planung erhebliche Rückstände. Ein Wiederanlauf innerhalb von zwei Stunden ist ein noch zu prüfendes Ziel, keine zugesicherte Fähigkeit. Abhängigkeiten: ERP, Strom, Netzwerk, zwei eingewiesene Personen und freigegebene Papierformulare.</w:t>
      </w:r>
    </w:p>
    <w:p>
      <w:r>
        <w:t>Notbetrieb: Die Leitung gibt die nummerierte Papierannahme frei; keine Liefertermine zusagen. Papierunterlagen verschlossen sammeln. Nach technischer Freigabe prüft die Teamleitung einen Testauftrag und gleicht die Papierbelege einmalig mit dem ERP ab. Versand startet erst nach gesonderter Freigabe der zuständigen Personen.</w:t>
      </w:r>
    </w:p>
    <w:p>
      <w:r>
        <w:br w:type="page"/>
      </w:r>
    </w:p>
    <w:p>
      <w:pPr>
        <w:pStyle w:val="Title"/>
      </w:pPr>
      <w:r>
        <w:t>Übungsergebnis und Verbesserungen</w:t>
      </w:r>
    </w:p>
    <w:p>
      <w:r>
        <w:t>Fiktive Auswertung einer 30-minütigen Besprechungsübung. Sie ist kein Nachweis, dass ein reales Unternehmen vorbereitet ist.</w:t>
      </w:r>
    </w:p>
    <w:tbl>
      <w:tblPr>
        <w:tblW w:type="auto" w:w="0"/>
        <w:jc w:val="center"/>
        <w:tblLayout w:type="fixed"/>
        <w:tblLook w:firstColumn="1" w:firstRow="1" w:lastColumn="0" w:lastRow="0" w:noHBand="0" w:noVBand="1" w:val="04A0"/>
      </w:tblPr>
      <w:tblGrid>
        <w:gridCol w:w="2891"/>
        <w:gridCol w:w="3515"/>
        <w:gridCol w:w="3458"/>
      </w:tblGrid>
      <w:tr>
        <w:trPr>
          <w:cantSplit/>
          <w:tblHeader/>
        </w:trPr>
        <w:tc>
          <w:tcPr>
            <w:tcW w:type="dxa" w:w="289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Beobachtete Lücke</w:t>
            </w:r>
          </w:p>
        </w:tc>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Maßnahme und Zuständigkeit</w:t>
            </w:r>
          </w:p>
        </w:tc>
        <w:tc>
          <w:tcPr>
            <w:tcW w:type="dxa" w:w="345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Termin und Abschlussbeleg</w:t>
            </w:r>
          </w:p>
        </w:tc>
      </w:tr>
      <w:tr>
        <w:trPr>
          <w:cantSplit/>
        </w:trPr>
        <w:tc>
          <w:tcPr>
            <w:tcW w:type="dxa" w:w="289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Vertretung kennt den Offline-Ordner nicht.</w:t>
            </w:r>
          </w:p>
        </w:tc>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Betriebsleitung weist die Vertretung ein und prüft die Zugänglichkeit.</w:t>
            </w:r>
          </w:p>
        </w:tc>
        <w:tc>
          <w:tcPr>
            <w:tcW w:type="dxa" w:w="345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Binnen 7 Tagen; dokumentierter Test ohne Netzwerk.</w:t>
            </w:r>
          </w:p>
        </w:tc>
      </w:tr>
      <w:tr>
        <w:trPr>
          <w:cantSplit/>
        </w:trPr>
        <w:tc>
          <w:tcPr>
            <w:tcW w:type="dxa" w:w="289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Papierannahme hat keine eindeutige Nummerierung.</w:t>
            </w:r>
          </w:p>
        </w:tc>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Auftragsservice ergänzt Vorgangsnummer und Abgleichfeld.</w:t>
            </w:r>
          </w:p>
        </w:tc>
        <w:tc>
          <w:tcPr>
            <w:tcW w:type="dxa" w:w="345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Binnen 14 Tagen; fünf fiktive Aufträge ohne Doppelanlage ins Testverfahren übernehmen.</w:t>
            </w:r>
          </w:p>
        </w:tc>
      </w:tr>
      <w:tr>
        <w:trPr>
          <w:cantSplit/>
        </w:trPr>
        <w:tc>
          <w:tcPr>
            <w:tcW w:type="dxa" w:w="289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Wiederanlaufziel wurde noch nicht praktisch geprüft.</w:t>
            </w:r>
          </w:p>
        </w:tc>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IT und Fachbereich planen einen autorisierten Wiederherstellungstest.</w:t>
            </w:r>
          </w:p>
        </w:tc>
        <w:tc>
          <w:tcPr>
            <w:tcW w:type="dxa" w:w="345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Binnen 30 Tagen; Ablauf, Dauer, Abweichungen und Folgemaßnahmen protokollieren.</w:t>
            </w:r>
          </w:p>
        </w:tc>
      </w:tr>
    </w:tbl>
    <w:p>
      <w:pPr>
        <w:spacing w:after="40"/>
      </w:pPr>
    </w:p>
    <w:p>
      <w:pPr>
        <w:pStyle w:val="Heading2"/>
      </w:pPr>
      <w:r>
        <w:t>Wie das Beispiel verwendet wird</w:t>
      </w:r>
    </w:p>
    <w:p>
      <w:r>
        <w:t>Übernehmen Sie die Struktur, nicht die Zeitziele oder Abläufe. Tragen Sie Ihre tatsächlichen Zuständigkeiten in die leeren Arbeitsblätter ein und prüfen Sie die Umsetzbarkeit. Im Beispiel kontrolliert die Betriebsleitung nach 30 Tagen alle drei Maßnahmen; die nächste Übung wird nach Änderungen an Personal, Standort oder IT neu geplant.</w:t>
      </w:r>
    </w:p>
    <w:p>
      <w:pPr>
        <w:pStyle w:val="Heading2"/>
      </w:pPr>
      <w:r>
        <w:t>Nutzung und Quellen</w:t>
      </w:r>
    </w:p>
    <w:p>
      <w:r>
        <w:t>Diese eigenen Vorlagen der Paragamix GmbH dürfen kostenlos intern genutzt, angepasst und an Kunden weitergegeben werden. Ein Quellenlink ist willkommen, aber keine Voraussetzung. Externe Materialien behalten ihre jeweiligen Nutzungsbedingungen.</w:t>
      </w:r>
    </w:p>
    <w:p>
      <w:hyperlink r:id="rId10">
        <w:r>
          <w:rPr>
            <w:color w:val="243D32"/>
            <w:u w:val="single"/>
          </w:rPr>
          <w:t>BSI – organisatorische Vorfallscheckliste</w:t>
        </w:r>
      </w:hyperlink>
      <w:r>
        <w:t xml:space="preserve">  |  </w:t>
      </w:r>
      <w:hyperlink r:id="rId11">
        <w:r>
          <w:rPr>
            <w:color w:val="243D32"/>
            <w:u w:val="single"/>
          </w:rPr>
          <w:t>CISA – tabletop exercise materials</w:t>
        </w:r>
      </w:hyperlink>
    </w:p>
    <w:p>
      <w:hyperlink r:id="rId12">
        <w:r>
          <w:rPr>
            <w:color w:val="243D32"/>
            <w:u w:val="single"/>
          </w:rPr>
          <w:t>Aktuelle Fassung und Quellen</w:t>
        </w:r>
      </w:hyperlink>
    </w:p>
    <w:p>
      <w:r>
        <w:t>Orientierungshilfe für die betriebliche Vorbereitung. Kein vollständiges Notfallhandbuch, keine technische Freigabe und kein Konformitätsnachweis. Mit KI-Unterstützung erstellt; keine unabhängige fachliche Freigabe dieses Pakets behauptet. Vor betrieblicher Nutzung durch zuständige Personen prüfen und freigeben.</w:t>
      </w:r>
    </w:p>
    <w:sectPr w:rsidR="00FC693F" w:rsidRPr="0006063C" w:rsidSect="00034616">
      <w:footerReference w:type="default" r:id="rId9"/>
      <w:pgSz w:w="11906" w:h="16838"/>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pPr>
    <w:r>
      <w:rPr>
        <w:sz w:val="16"/>
      </w:rPr>
      <w:t xml:space="preserve">Paragamix GmbH  |  v1.0  |  12.09.2026  |  </w:t>
    </w:r>
    <w:fldSimple w:instr="PAGE"/>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69" w:lineRule="auto"/>
    </w:pPr>
    <w:rPr>
      <w:rFonts w:ascii="Arial" w:hAnsi="Arial"/>
      <w:color w:val="000000"/>
      <w:sz w:val="20"/>
      <w:lang w:val="de-DE"/>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140" w:line="269" w:lineRule="auto"/>
      <w:outlineLvl w:val="0"/>
    </w:pPr>
    <w:rPr>
      <w:rFonts w:asciiTheme="majorHAnsi" w:eastAsiaTheme="majorEastAsia" w:hAnsiTheme="majorHAnsi" w:cstheme="majorBidi" w:ascii="Arial" w:hAnsi="Arial"/>
      <w:b/>
      <w:bCs/>
      <w:color w:val="000000"/>
      <w:sz w:val="34"/>
      <w:szCs w:val="28"/>
    </w:rPr>
  </w:style>
  <w:style w:type="paragraph" w:styleId="Heading2">
    <w:name w:val="heading 2"/>
    <w:basedOn w:val="Normal"/>
    <w:next w:val="Normal"/>
    <w:link w:val="Heading2Char"/>
    <w:uiPriority w:val="9"/>
    <w:unhideWhenUsed/>
    <w:qFormat/>
    <w:rsid w:val="00FC693F"/>
    <w:pPr>
      <w:keepNext/>
      <w:keepLines/>
      <w:spacing w:before="200" w:after="140" w:line="269" w:lineRule="auto"/>
      <w:outlineLvl w:val="1"/>
    </w:pPr>
    <w:rPr>
      <w:rFonts w:asciiTheme="majorHAnsi" w:eastAsiaTheme="majorEastAsia" w:hAnsiTheme="majorHAnsi" w:cstheme="majorBidi" w:ascii="Arial" w:hAnsi="Arial"/>
      <w:b/>
      <w:bCs/>
      <w:color w:val="000000"/>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40" w:line="269" w:lineRule="auto"/>
      <w:contextualSpacing/>
    </w:pPr>
    <w:rPr>
      <w:rFonts w:asciiTheme="majorHAnsi" w:eastAsiaTheme="majorEastAsia" w:hAnsiTheme="majorHAnsi" w:cstheme="majorBidi" w:ascii="Arial" w:hAnsi="Arial"/>
      <w:color w:val="000000"/>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yperlink" Target="https://www.bsi.bund.de/DE/IT-Sicherheitsvorfall/Unternehmen/Ich-habe-einen-IT-Sicherheitsvorfall-Checkliste-Organisatorisches/ich-habe-einen-it-sicherheitsvorfall-checkliste-organisatorisches.html" TargetMode="External"/><Relationship Id="rId11" Type="http://schemas.openxmlformats.org/officeDocument/2006/relationships/hyperlink" Target="https://www.cisa.gov/resources-tools/resources/ctep-package-documents" TargetMode="External"/><Relationship Id="rId12" Type="http://schemas.openxmlformats.org/officeDocument/2006/relationships/hyperlink" Target="https://www.paragamix.com/notfallvorsorge-unterneh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Notfallvorsorge Beispiel</dc:title>
  <dc:subject>Notfallvorsorge</dc:subject>
  <dc:creator>Paragamix GmbH</dc:creator>
  <cp:keywords/>
  <dc:description/>
  <cp:lastModifiedBy/>
  <cp:revision>1</cp:revision>
  <dcterms:created xsi:type="dcterms:W3CDTF">2013-12-23T23:15:00Z</dcterms:created>
  <dcterms:modified xsi:type="dcterms:W3CDTF">2013-12-23T23:15:00Z</dcterms:modified>
  <cp:category/>
</cp:coreProperties>
</file>