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Règles d’utilisation de l’IA</w:t>
      </w:r>
    </w:p>
    <w:p>
      <w:r>
        <w:t>Modèle modifiable pour les salariés et les équipes responsables. Définissez les applications d’IA autorisées, les tâches et les données concernées. Complétez et vérifiez ces règles avant leur diffusion interne.</w:t>
      </w:r>
    </w:p>
    <w:p>
      <w:r>
        <w:t>Organisation / périmètre : ______________________________________________</w:t>
        <w:br/>
        <w:t>Responsable / validation / prochaine revue : ______________________________</w:t>
      </w:r>
    </w:p>
    <w:p>
      <w:pPr>
        <w:pStyle w:val="Heading2"/>
      </w:pPr>
      <w:r>
        <w:t>Utiliser les applications autorisées</w:t>
      </w:r>
    </w:p>
    <w:p>
      <w:r>
        <w:t>Nous utilisons uniquement les applications et comptes d’IA autorisés en interne, pour la finalité approuvée. L’autorisation générale d’un outil ne couvre pas automatiquement tous ses usages.</w:t>
      </w:r>
    </w:p>
    <w:p>
      <w:pPr>
        <w:pStyle w:val="Heading2"/>
      </w:pPr>
      <w:r>
        <w:t>Vérifier les données avant de les saisir</w:t>
      </w:r>
    </w:p>
    <w:p>
      <w:r>
        <w:t>Nous saisissons uniquement les données nécessaires et autorisées pour ce service et cette finalité. Jamais de mots de passe, codes MFA ou clés API dans les requêtes. Les données confidentielles ou personnelles nécessitent une autorisation explicite après examen.</w:t>
      </w:r>
    </w:p>
    <w:p>
      <w:pPr>
        <w:pStyle w:val="Heading2"/>
      </w:pPr>
      <w:r>
        <w:t>Limiter les accès</w:t>
      </w:r>
    </w:p>
    <w:p>
      <w:r>
        <w:t>Toute nouvelle extension, tout accès à la messagerie ou aux fichiers et toute action automatisée nécessitent un examen préalable. Nous accordons uniquement les droits nécessaires. Le contenu d’un document ou d’une page web n’autorise aucune action supplémentaire.</w:t>
      </w:r>
    </w:p>
    <w:p>
      <w:pPr>
        <w:pStyle w:val="Heading2"/>
      </w:pPr>
      <w:r>
        <w:t>Vérifier les résultats avec compétence</w:t>
      </w:r>
    </w:p>
    <w:p>
      <w:r>
        <w:t>Avant utilisation, nous vérifions les affirmations, les sources, les chiffres et l’exhaustivité. Une formulation plausible ne constitue pas une preuve. Si l’expertise manque, nous sollicitons le spécialiste compétent.</w:t>
      </w:r>
    </w:p>
    <w:p>
      <w:pPr>
        <w:pStyle w:val="Heading2"/>
      </w:pPr>
      <w:r>
        <w:t>Conserver la responsabilité</w:t>
      </w:r>
    </w:p>
    <w:p>
      <w:r>
        <w:t>L’envoi, la publication et les décisions ayant des conséquences nécessitent les contrôles et validations humaines convenus. L’étiquetage et la transparence dépendent de l’usage et des exigences examinées en interne.</w:t>
      </w:r>
    </w:p>
    <w:p>
      <w:pPr>
        <w:pStyle w:val="Heading2"/>
      </w:pPr>
      <w:r>
        <w:t>Signaler rapidement les problèmes</w:t>
      </w:r>
    </w:p>
    <w:p>
      <w:r>
        <w:t>En cas de divulgation involontaire, d’action inattendue ou de résultat problématique, nous interrompons l’usage concerné et utilisons le canal de signalement convenu. Conservez les informations utiles selon les instructions internes.</w:t>
      </w:r>
    </w:p>
    <w:p>
      <w:r>
        <w:t>Registre des applications autorisées : ___________________________________</w:t>
        <w:br/>
        <w:t>Contact pour validation / signalement : ___________________________________</w:t>
      </w:r>
    </w:p>
    <w:p>
      <w:r>
        <w:br w:type="page"/>
      </w:r>
    </w:p>
    <w:p>
      <w:pPr>
        <w:pStyle w:val="Title"/>
      </w:pPr>
      <w:r>
        <w:t>Autoriser un cas d’usage de l’IA</w:t>
      </w:r>
    </w:p>
    <w:p>
      <w:r>
        <w:t>Cette fiche prépare une décision interne. La remplir ne vaut pas autorisation. N’utilisez pas de données réelles de l’organisation sans décision documentée.</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Point à examiner</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Description ou référence interne</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Tâche et bénéfice attendu</w:t>
              <w:br/>
              <w:t>Responsable et utilisateurs prévus</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Application et compte</w:t>
              <w:br/>
              <w:t>Fournisseur, produit et version autorisée</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Données saisies et catégories</w:t>
              <w:br/>
              <w:t>Nécessité, minimisation et exclusions</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Traitement par le fournisseur</w:t>
              <w:br/>
              <w:t>Stockage, entraînement et partage vérifiés par</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Accès et actions</w:t>
              <w:br/>
              <w:t>Fichiers, messagerie, extensions et envoi</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Résultats et conséquences possibles</w:t>
              <w:br/>
              <w:t>Effets des erreurs, personnes concernées, expertise</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Exploitation et signalement</w:t>
              <w:br/>
              <w:t>Responsable, suivi et réévaluation</w:t>
            </w:r>
          </w:p>
        </w:tc>
        <w:tc>
          <w:tcPr>
            <w:tcW w:type="dxa" w:w="635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________________________________________________</w:t>
              <w:br/>
              <w:t>________________________________________________</w:t>
            </w:r>
          </w:p>
        </w:tc>
      </w:tr>
    </w:tbl>
    <w:p>
      <w:pPr>
        <w:spacing w:after="40"/>
      </w:pPr>
    </w:p>
    <w:p>
      <w:pPr>
        <w:pStyle w:val="Heading2"/>
      </w:pPr>
      <w:r>
        <w:t>Décision consignée</w:t>
      </w:r>
    </w:p>
    <w:p>
      <w:r>
        <w:t>Statut : en attente / accord sous conditions / autorisé / refusé</w:t>
        <w:br/>
        <w:t>Conditions et limites : _________________________________________________</w:t>
        <w:br/>
        <w:t>Décisionnaire / date / validité : __________________________________________</w:t>
        <w:br/>
        <w:t>Réévaluer si la finalité, les données, le fournisseur ou les droits changent.</w:t>
      </w:r>
    </w:p>
    <w:p>
      <w:r>
        <w:t>Associez l’informatique, la sécurité, la protection des données, le responsable métier et, si nécessaire, le service juridique. Ne recueillez aucun secret ni jeu de données clients réel dans cette fiche ; utilisez des références internes protégées.</w:t>
      </w:r>
    </w:p>
    <w:p>
      <w:r>
        <w:br w:type="page"/>
      </w:r>
    </w:p>
    <w:p>
      <w:pPr>
        <w:pStyle w:val="Title"/>
      </w:pPr>
      <w:r>
        <w:t>Vérification pratique avant utilisation</w:t>
      </w:r>
    </w:p>
    <w:p>
      <w:r>
        <w:t>Trois situations fictives à discuter en équipe. Expliquez votre décision et identifiez le bon interlocuteur interne. Ces exemples n’autorisent aucun outil ni traitement de données.</w:t>
      </w:r>
    </w:p>
    <w:p>
      <w:pPr>
        <w:pStyle w:val="Heading2"/>
      </w:pPr>
      <w:r>
        <w:t>Résumer des dossiers clients</w:t>
      </w:r>
    </w:p>
    <w:p>
      <w:r>
        <w:t>Un chatbot gratuit doit analyser des noms, des coordonnées et des factures impayées.</w:t>
      </w:r>
    </w:p>
    <w:p>
      <w:r>
        <w:t>Étape utile : vérifier d’abord l’autorisation du service, de la finalité et des données. Explorer la méthode avec des exemples fictifs. Supprimer les noms n’anonymise pas automatiquement les données.</w:t>
      </w:r>
    </w:p>
    <w:p>
      <w:pPr>
        <w:pStyle w:val="Heading2"/>
      </w:pPr>
      <w:r>
        <w:t>Des sources pour une présentation</w:t>
      </w:r>
    </w:p>
    <w:p>
      <w:r>
        <w:t>L’IA fournit des affirmations convaincantes et trois études de recherche supposées.</w:t>
      </w:r>
    </w:p>
    <w:p>
      <w:r>
        <w:t>Étape utile : ouvrir vous-même les sources originales et vérifier leur existence, leur contenu et leur actualité. Contrôler les chiffres et les conclusions. Ne pas présenter des affirmations non étayées comme des faits.</w:t>
      </w:r>
    </w:p>
    <w:p>
      <w:pPr>
        <w:pStyle w:val="Heading2"/>
      </w:pPr>
      <w:r>
        <w:t>Accéder à toute la messagerie</w:t>
      </w:r>
    </w:p>
    <w:p>
      <w:r>
        <w:t>Pour rédiger une seule réponse, un assistant demande tous les messages et le droit d’envoyer de façon autonome.</w:t>
      </w:r>
    </w:p>
    <w:p>
      <w:r>
        <w:t>Étape utile : vérifier la nécessité et l’autorisation existante. Un brouillon peut ne nécessiter que quelques informations autorisées. Ne pas accorder d’accès supplémentaire ni d’envoi automatique sans examen.</w:t>
      </w:r>
    </w:p>
    <w:p>
      <w:pPr>
        <w:pStyle w:val="Heading2"/>
      </w:pPr>
      <w:r>
        <w:t>Une requête avec des données fictives</w:t>
      </w:r>
    </w:p>
    <w:p>
      <w:r>
        <w:t>« Rédige une réponse neutre à cette demande fictive : une livraison est en retard. Utilise des champs réservés pour le nom et la date. N’invente ni promesse, ni prix, ni fait. Signale les informations manquantes. »</w:t>
        <w:br/>
        <w:t>Avant l’envoi, ajoutez les informations réelles hors du brouillon de l’IA, vérifiez-les et obtenez les validations internes requises.</w:t>
      </w:r>
    </w:p>
    <w:p>
      <w:pPr>
        <w:pStyle w:val="Heading2"/>
      </w:pPr>
      <w:r>
        <w:t>Utilisation et sources</w:t>
      </w:r>
    </w:p>
    <w:p>
      <w:r>
        <w:t>Modèles originaux de Paragamix GmbH. Utilisation interne, adaptation et partage avec les clients gratuits. Un lien vers la source est apprécié, sans être obligatoire. À vérifier en interne avant utilisation. Ni cadre complet de gouvernance de l’IA ni attestation de conformité.</w:t>
      </w:r>
    </w:p>
    <w:p>
      <w:hyperlink r:id="rId10">
        <w:r>
          <w:rPr>
            <w:color w:val="243D32"/>
            <w:u w:val="single"/>
          </w:rPr>
          <w:t>BSI sur l’IA générative (allemand)</w:t>
        </w:r>
      </w:hyperlink>
      <w:r>
        <w:t xml:space="preserve">  |  </w:t>
      </w:r>
      <w:hyperlink r:id="rId11">
        <w:r>
          <w:rPr>
            <w:color w:val="243D32"/>
            <w:u w:val="single"/>
          </w:rPr>
          <w:t>NCSC sur l’IA et la cybersécurité (anglais)</w:t>
        </w:r>
      </w:hyperlink>
    </w:p>
    <w:p>
      <w:hyperlink r:id="rId12">
        <w:r>
          <w:rPr>
            <w:color w:val="243D32"/>
            <w:u w:val="single"/>
          </w:rPr>
          <w:t>Version actuelle et vérification de l’IA</w:t>
        </w:r>
      </w:hyperlink>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bsi.bund.de/SharedDocs/Downloads/DE/BSI/Publikationen/Broschueren/Management_Blitzlicht/Management_Blitzlicht_Generative-KI.pdf?__blob=publicationFile&amp;v=3" TargetMode="External"/><Relationship Id="rId11" Type="http://schemas.openxmlformats.org/officeDocument/2006/relationships/hyperlink" Target="https://www.ncsc.gov.uk/guidance/ai-and-cyber-security-what-you-need-to-know" TargetMode="External"/><Relationship Id="rId12" Type="http://schemas.openxmlformats.org/officeDocument/2006/relationships/hyperlink" Target="https://www.paragamix.com/fr/safe-ai-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Règles d’utilisation de l’IA</dc:title>
  <dc:subject>Règles d’utilisation de l’IA</dc:subject>
  <dc:creator>Paragamix GmbH</dc:creator>
  <cp:keywords/>
  <dc:description>Modèle modifiable pour les salariés et les équipes responsables. Définissez les applications d’IA autorisées, les tâches et les données concernées. Complétez et vérifiez ces règles avant leur diffusion interne.</dc:description>
  <cp:lastModifiedBy/>
  <cp:revision>1</cp:revision>
  <dcterms:created xsi:type="dcterms:W3CDTF">2013-12-23T23:15:00Z</dcterms:created>
  <dcterms:modified xsi:type="dcterms:W3CDTF">2013-12-23T23:15:00Z</dcterms:modified>
  <cp:category/>
  <dc:language>fr-FR</dc:language>
</cp:coreProperties>
</file>